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535731" w:rsidRDefault="009939C9" w:rsidP="00320319">
      <w:pPr>
        <w:rPr>
          <w:rFonts w:ascii="Arial" w:hAnsi="Arial" w:cs="Arial"/>
          <w:sz w:val="16"/>
          <w:szCs w:val="16"/>
        </w:rPr>
      </w:pPr>
      <w:r w:rsidRPr="00535731">
        <w:rPr>
          <w:rFonts w:ascii="Arial" w:hAnsi="Arial" w:cs="Arial"/>
          <w:sz w:val="16"/>
          <w:szCs w:val="16"/>
        </w:rPr>
        <w:t>www.plk-sa.pl</w:t>
      </w:r>
    </w:p>
    <w:p w:rsidR="009939C9" w:rsidRPr="00535731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Pr="00535731">
        <w:rPr>
          <w:rFonts w:ascii="Arial" w:hAnsi="Arial" w:cs="Arial"/>
          <w:sz w:val="22"/>
          <w:szCs w:val="22"/>
        </w:rPr>
        <w:tab/>
      </w:r>
      <w:r w:rsidR="00964B84" w:rsidRPr="00535731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DB568E">
        <w:rPr>
          <w:rFonts w:ascii="Arial" w:eastAsia="Calibri" w:hAnsi="Arial" w:cs="Arial"/>
          <w:sz w:val="22"/>
          <w:szCs w:val="22"/>
          <w:lang w:eastAsia="en-US"/>
        </w:rPr>
        <w:t>28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3A39">
        <w:rPr>
          <w:rFonts w:ascii="Arial" w:eastAsia="Calibri" w:hAnsi="Arial" w:cs="Arial"/>
          <w:sz w:val="22"/>
          <w:szCs w:val="22"/>
          <w:lang w:eastAsia="en-US"/>
        </w:rPr>
        <w:t>grudnia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Pr="00A10803" w:rsidRDefault="00197D57" w:rsidP="00E7182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10803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Informacja prasowa </w:t>
      </w:r>
    </w:p>
    <w:p w:rsidR="00ED3A39" w:rsidRPr="00A10803" w:rsidRDefault="00DB568E" w:rsidP="00E7182C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/>
          <w:bCs/>
          <w:iCs/>
          <w:sz w:val="20"/>
          <w:szCs w:val="20"/>
          <w:lang w:eastAsia="en-US"/>
        </w:rPr>
        <w:t>3,2 mld zł dofinasowania unijnego na przebudowę Węglówki i stacji Rzeszów Główny</w:t>
      </w:r>
    </w:p>
    <w:p w:rsidR="00DB568E" w:rsidRPr="00A10803" w:rsidRDefault="00DB568E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Ponad 3,2 mld zł dofinasowania unijnego w ramach Programu Operacyjnego Infrastruktura i Środowisko 2014-2020 otrzymały PKP Polskie Linie Kolejowe S.A. </w:t>
      </w:r>
      <w:proofErr w:type="gramStart"/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na</w:t>
      </w:r>
      <w:proofErr w:type="gramEnd"/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realizację dwóch inwestycji: przebudowę stacji Rzeszów Główny i Węglówki na odc. Chorzów Batory – Tarnowskie Góry – Karsznice – Inowrocław – Bydgoszcz – Maksymilianowo. Dzięki inwestycjom kolej będzie wygodniejsza i bardziej dostępna. Towary pojadą szybciej ze Śląska do trójmiejskich portów. </w:t>
      </w:r>
    </w:p>
    <w:p w:rsidR="00ED3A39" w:rsidRPr="00A10803" w:rsidRDefault="00ED3A39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PKP Polskie Linie Kolejowe S.A. </w:t>
      </w:r>
      <w:proofErr w:type="gramStart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oraz</w:t>
      </w:r>
      <w:proofErr w:type="gramEnd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Centrum Unijnych Projektów Transportowych podpisały umowę na dofinansowanie </w:t>
      </w:r>
      <w:r w:rsidR="00DC2378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dwóch projektów „„Prace na linii kolejowej C-E 65 na odc. Chorzów Batory – Tarnowskie Góry – Karsznice – Inowrocław – Bydgoszcz – Maksymilianowo” oraz „Poprawa stanu technicznego infrastruktury obsługi podróżnych (w tym dostosowanie do wymagań TSI PRM), Etap III Rzeszów Główny”. </w:t>
      </w:r>
    </w:p>
    <w:p w:rsidR="00A10803" w:rsidRPr="00A10803" w:rsidRDefault="00A10803" w:rsidP="00A1080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- Podpisane umowy o dofinansowanie z </w:t>
      </w:r>
      <w:proofErr w:type="spellStart"/>
      <w:r w:rsidRPr="00A1080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POIiŚ</w:t>
      </w:r>
      <w:proofErr w:type="spellEnd"/>
      <w:r w:rsidRPr="00A1080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są ważne dla zwiększenia komfortu pasażerów oraz sprawności przewozów towarowych. Przebudowa stacji Rzeszów, dzięki 166 mln zł dofinansowania unijnego zapewni wyższy standard obsługi wszystkich podróżnych, ze szczególnym uwzględnieniem potrzeb osób o ograniczonych możliwościach poruszania się. Dofinansowanie ponad 3 mld zł na modernizację „Węglówki”, linii łączącej Śląsk z portami, umożliwi zwiększenie kolejowych przewozów towarowych - realizację jednego z głównych celów PKP Polskich Linii Kolejowych S.A. </w:t>
      </w:r>
      <w:proofErr w:type="gramStart"/>
      <w:r w:rsidRPr="00A1080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w</w:t>
      </w:r>
      <w:proofErr w:type="gramEnd"/>
      <w:r w:rsidRPr="00A10803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obecnej perspektywie finansowej - mówi Ireneusz Merchel, prezes Zarządu PKP Polskich Linii Kolejowych S.A.</w:t>
      </w:r>
    </w:p>
    <w:p w:rsidR="00DC2378" w:rsidRPr="00A10803" w:rsidRDefault="00DC2378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Rzeszów z nowym przystankiem </w:t>
      </w:r>
    </w:p>
    <w:p w:rsidR="00DC2378" w:rsidRPr="00A10803" w:rsidRDefault="00DC2378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PLK przebudowują stację Rzeszów Główny. Podróżni zyskają nowoczesną stację z wyższymi, funkcjonalnymi peronami, czytelnym oznakowaniem i z systemem informacji dla pasażerów. Stacja będzie </w:t>
      </w:r>
      <w:r w:rsidR="00376F4F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dostosowana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do obsługi osób o ograniczonych możliwościach poruszania się. Dostęp do pociągów ułatwią windy i schody ruchome, a także przejście pod torami. Tunel zastąpi</w:t>
      </w:r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dotychczasową kładkę nad torami. Będzie to bezpieczne połączenie południowej i północnej część miasta. Trwają także prace przy budowie nowego przystanku Rzeszów Zachodni. Będzie on ważnym efektem inwestycji PLK. Obiekt przewidziano w rejonie wiaduktu nad Aleją Wyzwolenia. Mieszkańcy zyskają tu lepszy dostęp do kolei. Przystanek będzie wyposażony w wiaty, ławki i informacje pasażerską. Skorzystają z niego osoby o ograniczonej mobilności, gdyż na peronach zaplanowano windę oraz pochylnię. W ramach inwestycji PLK. </w:t>
      </w:r>
      <w:proofErr w:type="gramStart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przebudują</w:t>
      </w:r>
      <w:proofErr w:type="gramEnd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 Rzeszowie 4 wiadukty. Dzięki wzmocnieniu i poszerzeniu obiektów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sprawniej i bezpieczniej pojadą pociągi Poprawi się znacznie komunikacja drogowa. Zakończenie inwestycji zaplanowane jest w pierwszej połowie 2021 roku.</w:t>
      </w:r>
    </w:p>
    <w:p w:rsidR="00DC2378" w:rsidRPr="00A10803" w:rsidRDefault="00B033B2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Magistrala Węglowa – lepsze podróże i sprawny przewóz towarów </w:t>
      </w:r>
    </w:p>
    <w:p w:rsidR="00A81C23" w:rsidRPr="00A10803" w:rsidRDefault="00A81C23" w:rsidP="00A81C23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PKP Polskie Linie Kolejowe S.A. </w:t>
      </w:r>
      <w:proofErr w:type="gramStart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zmodernizują</w:t>
      </w:r>
      <w:proofErr w:type="gramEnd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A10803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ponad 200 km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linii kolejowej. Prace obejmą wymianę torów, rozjazdów oraz sieci trakcyjnej. Podwyższona zostanie prędkość pociągów pasażerskich do 140 km/h. Pociągi towarowe pojadą z prędkością do 120 km/h. Usprawni się przewóz towarów ze Śląska do portów w Gdańsku i Gdyni. Nowe urządzenia sterowania ruchem kolejowym zapewnią sprawną obsługę większej liczby składów towarowych. Budowa nowych 4 lokalnych centrów sterowania Bytom, Tarnowskie Góry, Herby Nowe i Zduńska Wola Karsznice, w większym stopniu zagwarantuje bezpieczną i płynną jazdę pociągów. Do prowadzenia ruchu z wyższą prędkością zostaną dostosowane obiekty inżynieryjne. Zwiększy się również poziom bezpieczeństwa w ruchu kolejowym i drogowym m.in. dzięki modernizacji przejazdów kolejowo – drogowych. </w:t>
      </w:r>
    </w:p>
    <w:p w:rsidR="00A81C23" w:rsidRPr="00A10803" w:rsidRDefault="00A81C23" w:rsidP="00A81C23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Magistrala Węglowa ma istotne znaczenie dla ruchu pasażerskiego. W ramach inwestycji przebudowane zostaną stacje i </w:t>
      </w:r>
      <w:proofErr w:type="gramStart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przystanki </w:t>
      </w:r>
      <w:r w:rsidR="00376F4F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</w:t>
      </w:r>
      <w:proofErr w:type="gramEnd"/>
      <w:r w:rsidR="00376F4F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tym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: Chorzów Miasto, Chorzów Stary, Bytom, </w:t>
      </w:r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Radzionków </w:t>
      </w:r>
      <w:proofErr w:type="spellStart"/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Rojca</w:t>
      </w:r>
      <w:proofErr w:type="spellEnd"/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, </w:t>
      </w:r>
      <w:r w:rsidR="0048590D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Radzionków, Nakło Śląskie, Tarnowskie Góry,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48590D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Miasteczko Śląskie,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Kalety, </w:t>
      </w:r>
      <w:proofErr w:type="spellStart"/>
      <w:r w:rsidR="008F35E4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Strzebiń</w:t>
      </w:r>
      <w:proofErr w:type="spellEnd"/>
      <w:r w:rsidR="008F35E4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Boronów, Herby Nowe, </w:t>
      </w:r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Chorzew Siemkowice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="008F35E4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Huta, Rusiec Łódzki ,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Chociw Łaski</w:t>
      </w:r>
      <w:r w:rsidR="00804BAC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="008F35E4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Siedlce Łaskie</w:t>
      </w:r>
      <w:r w:rsidR="00B542E0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 Kozuby i </w:t>
      </w:r>
      <w:r w:rsidR="00804BAC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Zduńska Wola Karsznice</w:t>
      </w:r>
      <w:r w:rsidR="00376F4F"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Południowa </w:t>
      </w: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i., </w:t>
      </w:r>
      <w:proofErr w:type="gramStart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z</w:t>
      </w:r>
      <w:proofErr w:type="gramEnd"/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dojściami uwzględniającymi dostęp dla osób o ograniczonej możliwości poruszania się, wiatami, oświetleniem i czytelnym oznakowaniem.</w:t>
      </w:r>
    </w:p>
    <w:p w:rsidR="00DC2378" w:rsidRDefault="00A81C23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0803">
        <w:rPr>
          <w:rFonts w:ascii="Arial" w:eastAsiaTheme="minorHAnsi" w:hAnsi="Arial" w:cs="Arial"/>
          <w:bCs/>
          <w:sz w:val="20"/>
          <w:szCs w:val="20"/>
          <w:lang w:eastAsia="en-US"/>
        </w:rPr>
        <w:t>Dzięki inwestycji mieszkańcy Chorzowa zyskają nowy przystanek kolejowy - między stacjami Chorzów Miasto i Chorzów Batory, w okolicach ulicy Strzelców Bytomskich – w pobliżu kampusów Uniwersytetu Śląskiego, Wyższej Szkoły Bankowej oraz szpitala. Również mieszkańcy Bytomia zyskają nowy przystanek w dogodniejszej lokalizacji. Planowane jest przesunięcie o około 500 metrów na północ przystanku Bytom Północny. Zmodernizowany odcinek linii kolejowej nr 131 Chorzów Batory – Tarnowskie Góry stanie się również ważnym elementem połączenia Katowic z lotniskiem w Pyrzowicach.</w:t>
      </w: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9AB7C50" wp14:editId="72CCE94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A10803" w:rsidRDefault="00161379" w:rsidP="00E7182C">
      <w:pPr>
        <w:autoSpaceDN/>
        <w:spacing w:after="160"/>
        <w:jc w:val="right"/>
        <w:textAlignment w:val="auto"/>
        <w:rPr>
          <w:rFonts w:ascii="Arial" w:hAnsi="Arial" w:cs="Arial"/>
          <w:sz w:val="20"/>
          <w:szCs w:val="20"/>
          <w:shd w:val="clear" w:color="auto" w:fill="FFFFFF"/>
        </w:rPr>
      </w:pPr>
      <w:r w:rsidRPr="00A10803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A1080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="008C01A8" w:rsidRPr="00A1080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="00E7182C" w:rsidRPr="00A10803">
        <w:rPr>
          <w:rFonts w:ascii="Arial" w:hAnsi="Arial" w:cs="Arial"/>
          <w:sz w:val="20"/>
          <w:szCs w:val="20"/>
        </w:rPr>
        <w:br/>
      </w:r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E7182C" w:rsidRPr="00A10803">
        <w:rPr>
          <w:rFonts w:ascii="Arial" w:hAnsi="Arial" w:cs="Arial"/>
          <w:sz w:val="20"/>
          <w:szCs w:val="20"/>
        </w:rPr>
        <w:br/>
      </w:r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E7182C" w:rsidRPr="00A10803">
        <w:rPr>
          <w:rFonts w:ascii="Arial" w:hAnsi="Arial" w:cs="Arial"/>
          <w:sz w:val="20"/>
          <w:szCs w:val="20"/>
        </w:rPr>
        <w:br/>
      </w:r>
      <w:proofErr w:type="gramStart"/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E7182C" w:rsidRPr="00A10803">
        <w:rPr>
          <w:rFonts w:ascii="Arial" w:hAnsi="Arial" w:cs="Arial"/>
          <w:sz w:val="20"/>
          <w:szCs w:val="20"/>
        </w:rPr>
        <w:br/>
      </w:r>
      <w:r w:rsidR="00E7182C" w:rsidRPr="00A10803">
        <w:rPr>
          <w:rFonts w:ascii="Arial" w:hAnsi="Arial" w:cs="Arial"/>
          <w:sz w:val="20"/>
          <w:szCs w:val="20"/>
          <w:shd w:val="clear" w:color="auto" w:fill="FFFFFF"/>
        </w:rPr>
        <w:t>T: + 48 694 480 239</w:t>
      </w:r>
    </w:p>
    <w:sectPr w:rsidR="008C01A8" w:rsidRPr="00A10803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4F" w:rsidRDefault="00D41E4F" w:rsidP="006B0DBA">
      <w:r>
        <w:separator/>
      </w:r>
    </w:p>
  </w:endnote>
  <w:endnote w:type="continuationSeparator" w:id="0">
    <w:p w:rsidR="00D41E4F" w:rsidRDefault="00D41E4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4F" w:rsidRDefault="00D41E4F" w:rsidP="006B0DBA">
      <w:r w:rsidRPr="006B0DBA">
        <w:rPr>
          <w:color w:val="000000"/>
        </w:rPr>
        <w:separator/>
      </w:r>
    </w:p>
  </w:footnote>
  <w:footnote w:type="continuationSeparator" w:id="0">
    <w:p w:rsidR="00D41E4F" w:rsidRDefault="00D41E4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12446B94" wp14:editId="65DFB78C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1FD"/>
    <w:rsid w:val="00040CC3"/>
    <w:rsid w:val="00044959"/>
    <w:rsid w:val="00050746"/>
    <w:rsid w:val="00052C70"/>
    <w:rsid w:val="00066B12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E6A27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B402D"/>
    <w:rsid w:val="002C1C8B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36090"/>
    <w:rsid w:val="003552EF"/>
    <w:rsid w:val="00361BE0"/>
    <w:rsid w:val="00376F4F"/>
    <w:rsid w:val="00393243"/>
    <w:rsid w:val="00395255"/>
    <w:rsid w:val="003A2401"/>
    <w:rsid w:val="003F0D69"/>
    <w:rsid w:val="003F51A0"/>
    <w:rsid w:val="004018F1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67389"/>
    <w:rsid w:val="00484AE4"/>
    <w:rsid w:val="0048590D"/>
    <w:rsid w:val="00485EB2"/>
    <w:rsid w:val="00490D72"/>
    <w:rsid w:val="004A3022"/>
    <w:rsid w:val="004A37C6"/>
    <w:rsid w:val="004C25AE"/>
    <w:rsid w:val="004C7BFF"/>
    <w:rsid w:val="004D5A15"/>
    <w:rsid w:val="004F3DCE"/>
    <w:rsid w:val="004F7D11"/>
    <w:rsid w:val="00507340"/>
    <w:rsid w:val="00513169"/>
    <w:rsid w:val="00514FC7"/>
    <w:rsid w:val="005152A5"/>
    <w:rsid w:val="00525D7D"/>
    <w:rsid w:val="00526536"/>
    <w:rsid w:val="00535731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277A"/>
    <w:rsid w:val="005C3C15"/>
    <w:rsid w:val="005C3DAE"/>
    <w:rsid w:val="005C5856"/>
    <w:rsid w:val="005E1A54"/>
    <w:rsid w:val="005E4F8E"/>
    <w:rsid w:val="00605A62"/>
    <w:rsid w:val="006132A0"/>
    <w:rsid w:val="00622F75"/>
    <w:rsid w:val="00626E24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6E62B5"/>
    <w:rsid w:val="006E63A8"/>
    <w:rsid w:val="00701F33"/>
    <w:rsid w:val="00702ABC"/>
    <w:rsid w:val="007076EF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57ACC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092E"/>
    <w:rsid w:val="007B3C96"/>
    <w:rsid w:val="007B44F6"/>
    <w:rsid w:val="007C32C2"/>
    <w:rsid w:val="007C3E0B"/>
    <w:rsid w:val="007C65DA"/>
    <w:rsid w:val="007D01BC"/>
    <w:rsid w:val="007D70D6"/>
    <w:rsid w:val="007E21AA"/>
    <w:rsid w:val="007E3233"/>
    <w:rsid w:val="008010A3"/>
    <w:rsid w:val="00804BAC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35E4"/>
    <w:rsid w:val="008F555B"/>
    <w:rsid w:val="008F6B0C"/>
    <w:rsid w:val="008F7BAC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1491"/>
    <w:rsid w:val="00961EFA"/>
    <w:rsid w:val="00963FE3"/>
    <w:rsid w:val="00964B84"/>
    <w:rsid w:val="00971431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9F680A"/>
    <w:rsid w:val="00A10803"/>
    <w:rsid w:val="00A1269E"/>
    <w:rsid w:val="00A12FC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67C1E"/>
    <w:rsid w:val="00A71FCD"/>
    <w:rsid w:val="00A771B7"/>
    <w:rsid w:val="00A81C23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3B2"/>
    <w:rsid w:val="00B03A59"/>
    <w:rsid w:val="00B126E1"/>
    <w:rsid w:val="00B1604C"/>
    <w:rsid w:val="00B261AC"/>
    <w:rsid w:val="00B27D86"/>
    <w:rsid w:val="00B46D9F"/>
    <w:rsid w:val="00B542E0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55DD"/>
    <w:rsid w:val="00C366CE"/>
    <w:rsid w:val="00C40F15"/>
    <w:rsid w:val="00C42036"/>
    <w:rsid w:val="00C6269F"/>
    <w:rsid w:val="00C66D38"/>
    <w:rsid w:val="00C677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E13B0"/>
    <w:rsid w:val="00CE24BF"/>
    <w:rsid w:val="00CE2BD5"/>
    <w:rsid w:val="00CF3E10"/>
    <w:rsid w:val="00D109E8"/>
    <w:rsid w:val="00D11851"/>
    <w:rsid w:val="00D1634F"/>
    <w:rsid w:val="00D2295D"/>
    <w:rsid w:val="00D3647C"/>
    <w:rsid w:val="00D37DBB"/>
    <w:rsid w:val="00D41E4F"/>
    <w:rsid w:val="00D43E9C"/>
    <w:rsid w:val="00D55680"/>
    <w:rsid w:val="00D556DD"/>
    <w:rsid w:val="00D570C8"/>
    <w:rsid w:val="00D651B9"/>
    <w:rsid w:val="00D711B6"/>
    <w:rsid w:val="00D740E9"/>
    <w:rsid w:val="00D77299"/>
    <w:rsid w:val="00D8117E"/>
    <w:rsid w:val="00D84905"/>
    <w:rsid w:val="00D931B9"/>
    <w:rsid w:val="00D97D07"/>
    <w:rsid w:val="00DA2011"/>
    <w:rsid w:val="00DB568E"/>
    <w:rsid w:val="00DC2378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3663E"/>
    <w:rsid w:val="00E437B3"/>
    <w:rsid w:val="00E45E26"/>
    <w:rsid w:val="00E46112"/>
    <w:rsid w:val="00E7182C"/>
    <w:rsid w:val="00E76FFA"/>
    <w:rsid w:val="00EA724F"/>
    <w:rsid w:val="00EA7FEC"/>
    <w:rsid w:val="00EB365C"/>
    <w:rsid w:val="00EB7F34"/>
    <w:rsid w:val="00EC20DC"/>
    <w:rsid w:val="00EC58D2"/>
    <w:rsid w:val="00ED1DC7"/>
    <w:rsid w:val="00ED3A39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32433"/>
    <w:rsid w:val="00F34599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CB355-D6C0-4641-981A-65345A1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5068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3</cp:revision>
  <cp:lastPrinted>2018-12-18T12:52:00Z</cp:lastPrinted>
  <dcterms:created xsi:type="dcterms:W3CDTF">2018-12-28T11:29:00Z</dcterms:created>
  <dcterms:modified xsi:type="dcterms:W3CDTF">2018-12-28T11:29:00Z</dcterms:modified>
</cp:coreProperties>
</file>