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E6191B" w:rsidRDefault="00D56A51" w:rsidP="00E6191B">
      <w:pPr>
        <w:jc w:val="right"/>
        <w:rPr>
          <w:rFonts w:cs="Arial"/>
        </w:rPr>
      </w:pPr>
      <w:r w:rsidRPr="00E70CE9">
        <w:rPr>
          <w:rFonts w:cs="Arial"/>
        </w:rPr>
        <w:t xml:space="preserve">Warszawa, </w:t>
      </w:r>
      <w:r w:rsidR="00C3331C" w:rsidRPr="00E70CE9">
        <w:rPr>
          <w:rFonts w:cs="Arial"/>
        </w:rPr>
        <w:t>1</w:t>
      </w:r>
      <w:r w:rsidR="00E70CE9" w:rsidRPr="00E70CE9">
        <w:rPr>
          <w:rFonts w:cs="Arial"/>
        </w:rPr>
        <w:t>6</w:t>
      </w:r>
      <w:r w:rsidR="00DE6D0F" w:rsidRPr="00E70CE9">
        <w:rPr>
          <w:rFonts w:cs="Arial"/>
        </w:rPr>
        <w:t xml:space="preserve"> lutego </w:t>
      </w:r>
      <w:r w:rsidR="00DE6D0F">
        <w:rPr>
          <w:rFonts w:cs="Arial"/>
        </w:rPr>
        <w:t>2023</w:t>
      </w:r>
      <w:r w:rsidR="00E6191B" w:rsidRPr="003D74BF">
        <w:rPr>
          <w:rFonts w:cs="Arial"/>
        </w:rPr>
        <w:t xml:space="preserve"> r.</w:t>
      </w:r>
    </w:p>
    <w:p w:rsidR="00E6191B" w:rsidRPr="00D56A51" w:rsidRDefault="00DE6D0F" w:rsidP="00D43663">
      <w:pPr>
        <w:pStyle w:val="Nagwek1"/>
        <w:spacing w:before="0" w:after="160" w:line="360" w:lineRule="auto"/>
        <w:rPr>
          <w:rFonts w:cs="Arial"/>
          <w:szCs w:val="24"/>
        </w:rPr>
      </w:pPr>
      <w:r>
        <w:rPr>
          <w:rFonts w:cs="Arial"/>
          <w:szCs w:val="24"/>
        </w:rPr>
        <w:t>Nowe wiadukty usprawn</w:t>
      </w:r>
      <w:bookmarkStart w:id="0" w:name="_GoBack"/>
      <w:bookmarkEnd w:id="0"/>
      <w:r>
        <w:rPr>
          <w:rFonts w:cs="Arial"/>
          <w:szCs w:val="24"/>
        </w:rPr>
        <w:t>ią przewóz ładunków do portu w Gdyni</w:t>
      </w:r>
    </w:p>
    <w:p w:rsidR="00E6191B" w:rsidRPr="00D56A51" w:rsidRDefault="00DE6D0F" w:rsidP="00D43663">
      <w:pPr>
        <w:pStyle w:val="Nagwek1"/>
        <w:spacing w:before="0" w:after="160" w:line="360" w:lineRule="auto"/>
        <w:rPr>
          <w:sz w:val="22"/>
          <w:szCs w:val="22"/>
        </w:rPr>
      </w:pPr>
      <w:r>
        <w:rPr>
          <w:sz w:val="22"/>
          <w:szCs w:val="22"/>
        </w:rPr>
        <w:t xml:space="preserve">Pociągi towarowe korzystają już z nowego wiaduktu prowadzącego do portu w Gdyni. Na kolejnym obiekcie postępują przygotowania do zabudowy toru. </w:t>
      </w:r>
      <w:r w:rsidR="00A64D7B">
        <w:rPr>
          <w:sz w:val="22"/>
          <w:szCs w:val="22"/>
        </w:rPr>
        <w:t xml:space="preserve">To istotne elementy infrastruktury kolejowej, którą umożliwią dojazd do nabrzeży większej liczby dłuższych i cięższych składów. Inwestycja realizowana przez </w:t>
      </w:r>
      <w:r w:rsidR="00D56A51">
        <w:rPr>
          <w:sz w:val="22"/>
          <w:szCs w:val="22"/>
        </w:rPr>
        <w:t>PKP Polskie Linie Kolejowe S.A.</w:t>
      </w:r>
      <w:r w:rsidR="00A64D7B">
        <w:rPr>
          <w:sz w:val="22"/>
          <w:szCs w:val="22"/>
        </w:rPr>
        <w:t>,</w:t>
      </w:r>
      <w:r w:rsidR="00B50057">
        <w:rPr>
          <w:sz w:val="22"/>
          <w:szCs w:val="22"/>
        </w:rPr>
        <w:t xml:space="preserve"> </w:t>
      </w:r>
      <w:r w:rsidR="00D56A51">
        <w:rPr>
          <w:sz w:val="22"/>
          <w:szCs w:val="22"/>
        </w:rPr>
        <w:t>o w</w:t>
      </w:r>
      <w:r w:rsidR="00B50057">
        <w:rPr>
          <w:sz w:val="22"/>
          <w:szCs w:val="22"/>
        </w:rPr>
        <w:t>artości 1,</w:t>
      </w:r>
      <w:r>
        <w:rPr>
          <w:sz w:val="22"/>
          <w:szCs w:val="22"/>
        </w:rPr>
        <w:t>6</w:t>
      </w:r>
      <w:r w:rsidR="00B50057">
        <w:rPr>
          <w:sz w:val="22"/>
          <w:szCs w:val="22"/>
        </w:rPr>
        <w:t xml:space="preserve"> mld zł netto</w:t>
      </w:r>
      <w:r w:rsidR="00A64D7B">
        <w:rPr>
          <w:sz w:val="22"/>
          <w:szCs w:val="22"/>
        </w:rPr>
        <w:t>,</w:t>
      </w:r>
      <w:r w:rsidR="00B50057">
        <w:rPr>
          <w:sz w:val="22"/>
          <w:szCs w:val="22"/>
        </w:rPr>
        <w:t xml:space="preserve"> jest </w:t>
      </w:r>
      <w:r w:rsidR="00D56A51">
        <w:rPr>
          <w:sz w:val="22"/>
          <w:szCs w:val="22"/>
        </w:rPr>
        <w:t>współfinansowan</w:t>
      </w:r>
      <w:r w:rsidR="00A64D7B">
        <w:rPr>
          <w:sz w:val="22"/>
          <w:szCs w:val="22"/>
        </w:rPr>
        <w:t>a</w:t>
      </w:r>
      <w:r w:rsidR="00710E46">
        <w:rPr>
          <w:sz w:val="22"/>
          <w:szCs w:val="22"/>
        </w:rPr>
        <w:t xml:space="preserve"> </w:t>
      </w:r>
      <w:r w:rsidR="00E6191B" w:rsidRPr="00D56A51">
        <w:rPr>
          <w:sz w:val="22"/>
          <w:szCs w:val="22"/>
        </w:rPr>
        <w:t>ze środków</w:t>
      </w:r>
      <w:r>
        <w:rPr>
          <w:sz w:val="22"/>
          <w:szCs w:val="22"/>
        </w:rPr>
        <w:t xml:space="preserve"> unijnych</w:t>
      </w:r>
      <w:r w:rsidR="00E6191B" w:rsidRPr="00D56A51">
        <w:rPr>
          <w:sz w:val="22"/>
          <w:szCs w:val="22"/>
        </w:rPr>
        <w:t xml:space="preserve"> instrumentu CEF „Łącząc Europę”. </w:t>
      </w:r>
    </w:p>
    <w:p w:rsidR="00A64D7B" w:rsidRPr="00E96532" w:rsidRDefault="00A64D7B" w:rsidP="00D43663">
      <w:pPr>
        <w:spacing w:line="360" w:lineRule="auto"/>
        <w:rPr>
          <w:rFonts w:eastAsia="Calibri" w:cs="Arial"/>
        </w:rPr>
      </w:pPr>
      <w:r w:rsidRPr="00E96532">
        <w:rPr>
          <w:rFonts w:eastAsia="Calibri" w:cs="Arial"/>
        </w:rPr>
        <w:t xml:space="preserve">Pociągi z ładunkami do portu Gdynia jeżdżą już jednym torem nowego, 600-metrowego wiaduktu w obrębie stacji Gdynia Port. Zabudowywany jest sąsiedni, drugi tor. </w:t>
      </w:r>
      <w:r w:rsidR="00D43663" w:rsidRPr="00E96532">
        <w:rPr>
          <w:rFonts w:eastAsia="Calibri" w:cs="Arial"/>
        </w:rPr>
        <w:t xml:space="preserve">Na wiadukcie położone zostaną cztery tory. </w:t>
      </w:r>
      <w:r w:rsidRPr="00E96532">
        <w:rPr>
          <w:rFonts w:eastAsia="Calibri" w:cs="Arial"/>
        </w:rPr>
        <w:t xml:space="preserve">Kończą się prace na kolejnym, </w:t>
      </w:r>
      <w:r w:rsidR="00E96532" w:rsidRPr="00E96532">
        <w:rPr>
          <w:rFonts w:eastAsia="Calibri" w:cs="Arial"/>
        </w:rPr>
        <w:t>blisko 140</w:t>
      </w:r>
      <w:r w:rsidR="00E96532">
        <w:rPr>
          <w:rFonts w:eastAsia="Calibri" w:cs="Arial"/>
        </w:rPr>
        <w:t>-metrowym wiadukcie</w:t>
      </w:r>
      <w:r w:rsidR="00D43663" w:rsidRPr="00E96532">
        <w:rPr>
          <w:rFonts w:eastAsia="Calibri" w:cs="Arial"/>
        </w:rPr>
        <w:t>, pod którym jest aż siedem torów</w:t>
      </w:r>
      <w:r w:rsidRPr="00E96532">
        <w:rPr>
          <w:rFonts w:eastAsia="Calibri" w:cs="Arial"/>
        </w:rPr>
        <w:t xml:space="preserve">. Stalowa konstrukcja obiektu jest gotowa, wkrótce wykonawca przystąpi do zabudowy toru oraz sieci trakcyjnej. </w:t>
      </w:r>
    </w:p>
    <w:p w:rsidR="00A64D7B" w:rsidRDefault="00A64D7B" w:rsidP="00D43663">
      <w:pPr>
        <w:spacing w:line="360" w:lineRule="auto"/>
        <w:rPr>
          <w:rFonts w:eastAsia="Calibri" w:cs="Arial"/>
        </w:rPr>
      </w:pPr>
      <w:r>
        <w:rPr>
          <w:rFonts w:eastAsia="Calibri" w:cs="Arial"/>
        </w:rPr>
        <w:t>Nowe wiadukty usprawnią przewóz towarów do nabrzeży. Zostały dostosowane do jazdy cięższych i dłuższych, nawet 750-metrowych pociągów o nacisku 22,5 tony na oś. Obiekty poprawią przepustowość linii prowadzących do portu. Większa ilość towarów przewiezionych koleją to mniej pojazdów ciężarowych na drogach. To ważny, proekologiczny aspekt inwestycji realizowanej przez PLK S.A.</w:t>
      </w:r>
      <w:r w:rsidR="00DC3083">
        <w:rPr>
          <w:rFonts w:eastAsia="Calibri" w:cs="Arial"/>
        </w:rPr>
        <w:t xml:space="preserve"> Realizacja zadania umożliwi przeładunek większej ilości towarów i skróci czas obsługi pociągów, co korzystnie wpłynie na polską gospodarkę. </w:t>
      </w:r>
    </w:p>
    <w:p w:rsidR="00A64D7B" w:rsidRDefault="00A64D7B" w:rsidP="00D43663">
      <w:pPr>
        <w:spacing w:line="360" w:lineRule="auto"/>
        <w:rPr>
          <w:rFonts w:eastAsia="Calibri" w:cs="Arial"/>
        </w:rPr>
      </w:pPr>
      <w:r>
        <w:rPr>
          <w:rFonts w:eastAsia="Calibri" w:cs="Arial"/>
        </w:rPr>
        <w:t>Postępują prace w zakresie pozostałych branż. Dotąd zabudowano 100 km nowych</w:t>
      </w:r>
      <w:r w:rsidR="00DC3083">
        <w:rPr>
          <w:rFonts w:eastAsia="Calibri" w:cs="Arial"/>
        </w:rPr>
        <w:t>, zelektryfikowanych</w:t>
      </w:r>
      <w:r>
        <w:rPr>
          <w:rFonts w:eastAsia="Calibri" w:cs="Arial"/>
        </w:rPr>
        <w:t xml:space="preserve"> torów (ze 115 km) oraz 283 rozjazdy (z 332). </w:t>
      </w:r>
      <w:r w:rsidR="00475B1F">
        <w:rPr>
          <w:rFonts w:eastAsia="Calibri" w:cs="Arial"/>
        </w:rPr>
        <w:t xml:space="preserve">Gotowe są 23 skrzyżowania (z 24) oraz publiczna ładownia. Wykonano wszystkie, 13 podziemnych zbiorników retencyjnych, które wraz z nową siecią </w:t>
      </w:r>
      <w:r w:rsidR="00E96532">
        <w:rPr>
          <w:rFonts w:eastAsia="Calibri" w:cs="Arial"/>
        </w:rPr>
        <w:t xml:space="preserve">kanalizacji sanitarnej i deszczowej </w:t>
      </w:r>
      <w:r w:rsidR="00475B1F">
        <w:rPr>
          <w:rFonts w:eastAsia="Calibri" w:cs="Arial"/>
        </w:rPr>
        <w:t xml:space="preserve">zapewniają właściwe odwodnienie terenu. Wyremontowano most na rzece </w:t>
      </w:r>
      <w:proofErr w:type="spellStart"/>
      <w:r w:rsidR="00475B1F">
        <w:rPr>
          <w:rFonts w:eastAsia="Calibri" w:cs="Arial"/>
        </w:rPr>
        <w:t>Chylonce</w:t>
      </w:r>
      <w:proofErr w:type="spellEnd"/>
      <w:r w:rsidR="00475B1F">
        <w:rPr>
          <w:rFonts w:eastAsia="Calibri" w:cs="Arial"/>
        </w:rPr>
        <w:t>. Od marca 2022 r. ruch pociągów do portu prowadzony jest z Lokalnego Centru</w:t>
      </w:r>
      <w:r w:rsidR="00E96532">
        <w:rPr>
          <w:rFonts w:eastAsia="Calibri" w:cs="Arial"/>
        </w:rPr>
        <w:t>m Sterowania Gdynia Port, wspieranego przez dwie nowe nastawnie</w:t>
      </w:r>
      <w:r w:rsidR="00475B1F">
        <w:rPr>
          <w:rFonts w:eastAsia="Calibri" w:cs="Arial"/>
        </w:rPr>
        <w:t xml:space="preserve">. </w:t>
      </w:r>
      <w:r w:rsidR="00475B1F">
        <w:rPr>
          <w:rFonts w:cs="Arial"/>
        </w:rPr>
        <w:t>Pracę</w:t>
      </w:r>
      <w:r w:rsidR="00475B1F" w:rsidRPr="004D5291">
        <w:rPr>
          <w:rFonts w:cs="Arial"/>
        </w:rPr>
        <w:t xml:space="preserve"> kolejarzy wspierają nowoczesne urządzenia i systemy komputerowe. Informacje o sytuacji na torach dojazdowych do portu i na stacji towarowej obserwowane są na monitorach. Komputerowe urządzenia umożliwiają pracę manewrową, nadzór nad zestawianiem i przygotowaniem pociągów do jazdy.</w:t>
      </w:r>
    </w:p>
    <w:p w:rsidR="00A64D7B" w:rsidRDefault="00A64D7B" w:rsidP="00D43663">
      <w:pPr>
        <w:spacing w:after="0" w:line="360" w:lineRule="auto"/>
        <w:rPr>
          <w:rFonts w:eastAsia="Calibri" w:cs="Arial"/>
        </w:rPr>
      </w:pPr>
    </w:p>
    <w:p w:rsidR="00A64D7B" w:rsidRDefault="00A64D7B" w:rsidP="00D43663">
      <w:pPr>
        <w:spacing w:after="0" w:line="360" w:lineRule="auto"/>
        <w:rPr>
          <w:rFonts w:eastAsia="Calibri" w:cs="Arial"/>
        </w:rPr>
      </w:pPr>
    </w:p>
    <w:p w:rsidR="00D43663" w:rsidRPr="00A64D7B" w:rsidRDefault="00710E46" w:rsidP="00D43663">
      <w:pPr>
        <w:shd w:val="clear" w:color="auto" w:fill="FFFFFF"/>
        <w:spacing w:line="360" w:lineRule="auto"/>
        <w:rPr>
          <w:rStyle w:val="Pogrubienie"/>
          <w:rFonts w:cs="Arial"/>
          <w:b w:val="0"/>
          <w:bCs w:val="0"/>
          <w:shd w:val="clear" w:color="auto" w:fill="FFFFFF"/>
          <w:lang w:eastAsia="pl-PL"/>
        </w:rPr>
      </w:pPr>
      <w:r>
        <w:rPr>
          <w:rFonts w:eastAsia="Calibri" w:cs="Arial"/>
        </w:rPr>
        <w:t>Wartość inwestycji</w:t>
      </w:r>
      <w:r w:rsidR="00D43663">
        <w:rPr>
          <w:rFonts w:eastAsia="Calibri" w:cs="Arial"/>
        </w:rPr>
        <w:t xml:space="preserve"> pn.</w:t>
      </w:r>
      <w:r>
        <w:rPr>
          <w:rFonts w:eastAsia="Calibri" w:cs="Arial"/>
        </w:rPr>
        <w:t xml:space="preserve"> </w:t>
      </w:r>
      <w:r w:rsidR="00A64D7B" w:rsidRPr="008B1562">
        <w:rPr>
          <w:rFonts w:cs="Arial"/>
          <w:shd w:val="clear" w:color="auto" w:fill="FFFFFF"/>
        </w:rPr>
        <w:t>„Poprawa dostępu kolejowego do portu morskiego w Gdyni"</w:t>
      </w:r>
      <w:r w:rsidR="00A64D7B">
        <w:rPr>
          <w:rFonts w:cs="Arial"/>
          <w:shd w:val="clear" w:color="auto" w:fill="FFFFFF"/>
        </w:rPr>
        <w:t xml:space="preserve"> </w:t>
      </w:r>
      <w:r w:rsidR="00D43663">
        <w:rPr>
          <w:rFonts w:eastAsia="Calibri" w:cs="Arial"/>
        </w:rPr>
        <w:t>to ponad 1,6</w:t>
      </w:r>
      <w:r>
        <w:rPr>
          <w:rFonts w:eastAsia="Calibri" w:cs="Arial"/>
        </w:rPr>
        <w:t xml:space="preserve"> mld zł netto</w:t>
      </w:r>
      <w:r w:rsidRPr="00E6191B">
        <w:rPr>
          <w:rFonts w:eastAsia="Calibri" w:cs="Arial"/>
        </w:rPr>
        <w:t xml:space="preserve">. </w:t>
      </w:r>
      <w:r w:rsidR="00D43663">
        <w:rPr>
          <w:rFonts w:cs="Arial"/>
          <w:shd w:val="clear" w:color="auto" w:fill="FFFFFF"/>
        </w:rPr>
        <w:t>Prawie 45</w:t>
      </w:r>
      <w:r w:rsidRPr="00E6191B">
        <w:rPr>
          <w:rFonts w:cs="Arial"/>
          <w:shd w:val="clear" w:color="auto" w:fill="FFFFFF"/>
        </w:rPr>
        <w:t xml:space="preserve"> proc. tej kwoty stanowi dofinansowanie unijne ze środków instrumentu finansowego </w:t>
      </w:r>
      <w:proofErr w:type="spellStart"/>
      <w:r w:rsidRPr="00E6191B">
        <w:rPr>
          <w:rFonts w:cs="Arial"/>
          <w:shd w:val="clear" w:color="auto" w:fill="FFFFFF"/>
        </w:rPr>
        <w:t>Connecting</w:t>
      </w:r>
      <w:proofErr w:type="spellEnd"/>
      <w:r w:rsidRPr="00E6191B">
        <w:rPr>
          <w:rFonts w:cs="Arial"/>
          <w:shd w:val="clear" w:color="auto" w:fill="FFFFFF"/>
        </w:rPr>
        <w:t xml:space="preserve"> Europe </w:t>
      </w:r>
      <w:proofErr w:type="spellStart"/>
      <w:r w:rsidRPr="00E6191B">
        <w:rPr>
          <w:rFonts w:cs="Arial"/>
          <w:shd w:val="clear" w:color="auto" w:fill="FFFFFF"/>
        </w:rPr>
        <w:t>Facility</w:t>
      </w:r>
      <w:proofErr w:type="spellEnd"/>
      <w:r w:rsidRPr="00E6191B">
        <w:rPr>
          <w:rFonts w:cs="Arial"/>
          <w:shd w:val="clear" w:color="auto" w:fill="FFFFFF"/>
        </w:rPr>
        <w:t xml:space="preserve"> (CEF) – „Łącząc Europę”.</w:t>
      </w:r>
      <w:r w:rsidRPr="00E6191B">
        <w:rPr>
          <w:rFonts w:cs="Arial"/>
          <w:shd w:val="clear" w:color="auto" w:fill="FFFFFF"/>
          <w:lang w:eastAsia="pl-PL"/>
        </w:rPr>
        <w:t xml:space="preserve"> </w:t>
      </w:r>
      <w:r w:rsidR="00D43663">
        <w:rPr>
          <w:rFonts w:cs="Arial"/>
          <w:shd w:val="clear" w:color="auto" w:fill="FFFFFF"/>
          <w:lang w:eastAsia="pl-PL"/>
        </w:rPr>
        <w:t xml:space="preserve">Zakończenie wszystkich prac planowane jest </w:t>
      </w:r>
      <w:r w:rsidR="00AB187C">
        <w:rPr>
          <w:rFonts w:cs="Arial"/>
          <w:shd w:val="clear" w:color="auto" w:fill="FFFFFF"/>
          <w:lang w:eastAsia="pl-PL"/>
        </w:rPr>
        <w:t>w III kwartale</w:t>
      </w:r>
      <w:r w:rsidR="00D43663">
        <w:rPr>
          <w:rFonts w:cs="Arial"/>
          <w:shd w:val="clear" w:color="auto" w:fill="FFFFFF"/>
          <w:lang w:eastAsia="pl-PL"/>
        </w:rPr>
        <w:t xml:space="preserve"> br. </w:t>
      </w:r>
    </w:p>
    <w:p w:rsidR="00D43663" w:rsidRDefault="00D43663" w:rsidP="00E6191B">
      <w:pPr>
        <w:spacing w:after="0" w:line="360" w:lineRule="auto"/>
        <w:rPr>
          <w:rStyle w:val="Pogrubienie"/>
          <w:rFonts w:cs="Arial"/>
        </w:rPr>
      </w:pPr>
    </w:p>
    <w:p w:rsidR="00E6191B" w:rsidRDefault="00E6191B" w:rsidP="00E6191B">
      <w:pPr>
        <w:spacing w:after="0" w:line="360" w:lineRule="auto"/>
        <w:rPr>
          <w:rStyle w:val="Pogrubienie"/>
          <w:rFonts w:cs="Arial"/>
        </w:rPr>
      </w:pPr>
      <w:r w:rsidRPr="007F3648">
        <w:rPr>
          <w:rStyle w:val="Pogrubienie"/>
          <w:rFonts w:cs="Arial"/>
        </w:rPr>
        <w:t>Kontakt dla mediów:</w:t>
      </w:r>
    </w:p>
    <w:p w:rsidR="00E6191B" w:rsidRPr="00E6191B" w:rsidRDefault="00D56A51" w:rsidP="00E6191B">
      <w:pPr>
        <w:spacing w:after="0" w:line="360" w:lineRule="auto"/>
        <w:rPr>
          <w:rStyle w:val="Pogrubienie"/>
          <w:rFonts w:cs="Arial"/>
          <w:b w:val="0"/>
        </w:rPr>
      </w:pPr>
      <w:r>
        <w:rPr>
          <w:rStyle w:val="Pogrubienie"/>
          <w:rFonts w:cs="Arial"/>
          <w:b w:val="0"/>
        </w:rPr>
        <w:t>Przemysław Zieliński</w:t>
      </w:r>
    </w:p>
    <w:p w:rsidR="00E6191B" w:rsidRPr="00E6191B" w:rsidRDefault="00D56A51" w:rsidP="00E6191B">
      <w:pPr>
        <w:spacing w:after="0" w:line="360" w:lineRule="auto"/>
        <w:rPr>
          <w:rStyle w:val="Pogrubienie"/>
          <w:rFonts w:cs="Arial"/>
          <w:b w:val="0"/>
        </w:rPr>
      </w:pPr>
      <w:r>
        <w:rPr>
          <w:rStyle w:val="Pogrubienie"/>
          <w:rFonts w:cs="Arial"/>
          <w:b w:val="0"/>
        </w:rPr>
        <w:t>zespół</w:t>
      </w:r>
      <w:r w:rsidR="00E6191B" w:rsidRPr="00E6191B">
        <w:rPr>
          <w:rStyle w:val="Pogrubienie"/>
          <w:rFonts w:cs="Arial"/>
          <w:b w:val="0"/>
        </w:rPr>
        <w:t xml:space="preserve"> prasowy</w:t>
      </w:r>
    </w:p>
    <w:p w:rsidR="00E6191B" w:rsidRPr="00E6191B" w:rsidRDefault="00E6191B" w:rsidP="00E6191B">
      <w:pPr>
        <w:spacing w:after="0" w:line="360" w:lineRule="auto"/>
        <w:rPr>
          <w:rStyle w:val="Pogrubienie"/>
          <w:rFonts w:cs="Arial"/>
          <w:b w:val="0"/>
        </w:rPr>
      </w:pPr>
      <w:r w:rsidRPr="00E6191B">
        <w:rPr>
          <w:rStyle w:val="Pogrubienie"/>
          <w:rFonts w:cs="Arial"/>
          <w:b w:val="0"/>
        </w:rPr>
        <w:t>PKP Polskie Linie Kolejowe S.A.</w:t>
      </w:r>
    </w:p>
    <w:p w:rsidR="00E6191B" w:rsidRPr="00E6191B" w:rsidRDefault="009028AD" w:rsidP="00E6191B">
      <w:pPr>
        <w:spacing w:after="0" w:line="360" w:lineRule="auto"/>
        <w:rPr>
          <w:rStyle w:val="Pogrubienie"/>
          <w:rFonts w:cs="Arial"/>
        </w:rPr>
      </w:pPr>
      <w:hyperlink r:id="rId8" w:history="1">
        <w:r w:rsidR="00E6191B" w:rsidRPr="00E6191B">
          <w:rPr>
            <w:rStyle w:val="Hipercze"/>
            <w:rFonts w:cs="Arial"/>
            <w:color w:val="auto"/>
            <w:u w:val="none"/>
          </w:rPr>
          <w:t>rzecznik@plk-sa.pl</w:t>
        </w:r>
      </w:hyperlink>
    </w:p>
    <w:p w:rsidR="00E6191B" w:rsidRPr="00E6191B" w:rsidRDefault="00D56A51" w:rsidP="00E6191B">
      <w:pPr>
        <w:spacing w:after="0" w:line="360" w:lineRule="auto"/>
        <w:rPr>
          <w:rStyle w:val="Pogrubienie"/>
          <w:rFonts w:cs="Arial"/>
          <w:b w:val="0"/>
        </w:rPr>
      </w:pPr>
      <w:r>
        <w:rPr>
          <w:rStyle w:val="Pogrubienie"/>
          <w:rFonts w:cs="Arial"/>
          <w:b w:val="0"/>
        </w:rPr>
        <w:t>tel. 506 564 659</w:t>
      </w:r>
    </w:p>
    <w:p w:rsidR="00E6191B" w:rsidRDefault="00E6191B" w:rsidP="00E6191B"/>
    <w:p w:rsidR="00E6191B" w:rsidRPr="00313FD8" w:rsidRDefault="00E6191B" w:rsidP="00E6191B">
      <w:pPr>
        <w:spacing w:after="0" w:line="360" w:lineRule="auto"/>
        <w:rPr>
          <w:rFonts w:cs="Arial"/>
        </w:rPr>
      </w:pPr>
      <w:r w:rsidRPr="00313FD8">
        <w:rPr>
          <w:rFonts w:cs="Arial"/>
        </w:rPr>
        <w:t>Projekt jest współfinansowany przez Unię Europejską z Instrumentu „Łącząc Europę”.</w:t>
      </w:r>
    </w:p>
    <w:p w:rsidR="00E6191B" w:rsidRPr="00313FD8" w:rsidRDefault="00E6191B" w:rsidP="00E6191B">
      <w:pPr>
        <w:spacing w:after="0" w:line="360" w:lineRule="auto"/>
      </w:pPr>
      <w:r w:rsidRPr="00313FD8">
        <w:rPr>
          <w:rFonts w:cs="Arial"/>
        </w:rPr>
        <w:t>Wyłączną odpowiedzialność za treść publikacji ponosi jej autor. Unia Europejska nie odpowiada za ewentualne wykorzystanie informacji zawartych w takiej publikacji.</w:t>
      </w:r>
    </w:p>
    <w:p w:rsidR="00E6191B" w:rsidRPr="00F92C68" w:rsidRDefault="00E6191B" w:rsidP="00E6191B">
      <w:pPr>
        <w:spacing w:line="360" w:lineRule="auto"/>
        <w:rPr>
          <w:rFonts w:cs="Arial"/>
        </w:rPr>
      </w:pPr>
    </w:p>
    <w:p w:rsidR="00DE6D0F" w:rsidRDefault="00DE6D0F" w:rsidP="00DE6D0F">
      <w:pPr>
        <w:rPr>
          <w:rFonts w:cs="Arial"/>
        </w:rPr>
      </w:pPr>
    </w:p>
    <w:p w:rsidR="00C22107" w:rsidRDefault="00C22107" w:rsidP="00534832">
      <w:pPr>
        <w:spacing w:line="360" w:lineRule="auto"/>
      </w:pPr>
    </w:p>
    <w:sectPr w:rsidR="00C22107"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AD" w:rsidRDefault="009028AD" w:rsidP="009D1AEB">
      <w:pPr>
        <w:spacing w:after="0" w:line="240" w:lineRule="auto"/>
      </w:pPr>
      <w:r>
        <w:separator/>
      </w:r>
    </w:p>
  </w:endnote>
  <w:endnote w:type="continuationSeparator" w:id="0">
    <w:p w:rsidR="009028AD" w:rsidRDefault="009028A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332AD2" w:rsidRDefault="00332AD2" w:rsidP="00332AD2">
    <w:pPr>
      <w:spacing w:after="0" w:line="240" w:lineRule="auto"/>
      <w:jc w:val="both"/>
      <w:rPr>
        <w:rFonts w:cs="Arial"/>
        <w:color w:val="727271"/>
        <w:sz w:val="14"/>
        <w:szCs w:val="14"/>
      </w:rPr>
    </w:pPr>
    <w:r>
      <w:rPr>
        <w:rFonts w:cs="Arial"/>
        <w:color w:val="727271"/>
        <w:sz w:val="14"/>
        <w:szCs w:val="14"/>
      </w:rPr>
      <w:t xml:space="preserve">Spółka wpisana do rejestru przedsiębiorców prowadzonego przez Sąd Rejonowy dla m. st. Warszawy w Warszawie </w:t>
    </w:r>
  </w:p>
  <w:p w:rsidR="00332AD2" w:rsidRDefault="00332AD2" w:rsidP="00332AD2">
    <w:pPr>
      <w:spacing w:after="0" w:line="240" w:lineRule="auto"/>
      <w:jc w:val="both"/>
      <w:rPr>
        <w:rFonts w:cs="Arial"/>
        <w:color w:val="727271"/>
        <w:sz w:val="14"/>
        <w:szCs w:val="14"/>
      </w:rPr>
    </w:pPr>
    <w:r>
      <w:rPr>
        <w:rFonts w:cs="Arial"/>
        <w:color w:val="727271"/>
        <w:sz w:val="14"/>
        <w:szCs w:val="14"/>
      </w:rPr>
      <w:t xml:space="preserve">XIV Wydział Gospodarczy Krajowego Rejestru Sądowego pod numerem KRS 0000037568, NIP 113-23-16-427, </w:t>
    </w:r>
  </w:p>
  <w:p w:rsidR="00860074" w:rsidRPr="00D56A51" w:rsidRDefault="00332AD2" w:rsidP="00332AD2">
    <w:pPr>
      <w:spacing w:after="0" w:line="240" w:lineRule="auto"/>
      <w:jc w:val="both"/>
      <w:rPr>
        <w:rFonts w:cs="Arial"/>
        <w:color w:val="727271"/>
        <w:sz w:val="14"/>
        <w:szCs w:val="14"/>
      </w:rPr>
    </w:pPr>
    <w:r>
      <w:rPr>
        <w:rFonts w:cs="Arial"/>
        <w:color w:val="727271"/>
        <w:sz w:val="14"/>
        <w:szCs w:val="14"/>
      </w:rPr>
      <w:t>REGON 017319027. Wysokość kapitału zakładowego w całości wpłaconego: 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AD" w:rsidRDefault="009028AD" w:rsidP="009D1AEB">
      <w:pPr>
        <w:spacing w:after="0" w:line="240" w:lineRule="auto"/>
      </w:pPr>
      <w:r>
        <w:separator/>
      </w:r>
    </w:p>
  </w:footnote>
  <w:footnote w:type="continuationSeparator" w:id="0">
    <w:p w:rsidR="009028AD" w:rsidRDefault="009028AD"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CF3E69">
    <w:pPr>
      <w:pStyle w:val="Nagwek"/>
    </w:pPr>
    <w:r>
      <w:rPr>
        <w:noProof/>
        <w:lang w:eastAsia="pl-PL"/>
      </w:rPr>
      <w:drawing>
        <wp:anchor distT="0" distB="0" distL="114300" distR="114300" simplePos="0" relativeHeight="251663360" behindDoc="0" locked="0" layoutInCell="1" allowOverlap="1" wp14:anchorId="6A085064" wp14:editId="5C00F287">
          <wp:simplePos x="0" y="0"/>
          <wp:positionH relativeFrom="column">
            <wp:posOffset>0</wp:posOffset>
          </wp:positionH>
          <wp:positionV relativeFrom="paragraph">
            <wp:posOffset>-635</wp:posOffset>
          </wp:positionV>
          <wp:extent cx="6115050" cy="466090"/>
          <wp:effectExtent l="0" t="0" r="0" b="0"/>
          <wp:wrapNone/>
          <wp:docPr id="3" name="Obraz 3"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2B651BF5" wp14:editId="60EE4398">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51BF5"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1A40E7">
      <w:rPr>
        <w:noProof/>
        <w:lang w:eastAsia="pl-PL"/>
      </w:rPr>
      <w:drawing>
        <wp:inline distT="0" distB="0" distL="0" distR="0" wp14:anchorId="2FA403E6" wp14:editId="423654B0">
          <wp:extent cx="6120130" cy="461645"/>
          <wp:effectExtent l="0" t="0" r="0" b="0"/>
          <wp:docPr id="1" name="Obraz 1" descr="Logoty: PKP Polskich Linii Kolejowych S.A., flaga Rzeczpospolita Polska, logotyp: flaga Unii Europejskiej, Współ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 PKP Polskich Linii Kolejowych S.A., flaga Rzeczpospolita Polska, logotyp: flaga Unii Europejskiej, Współfinansowane przez Unię Europejską."/>
                  <pic:cNvPicPr>
                    <a:picLocks noChangeAspect="1" noChangeArrowheads="1"/>
                  </pic:cNvPicPr>
                </pic:nvPicPr>
                <pic:blipFill>
                  <a:blip r:embed="rId2">
                    <a:extLst>
                      <a:ext uri="{28A0092B-C50C-407E-A947-70E740481C1C}">
                        <a14:useLocalDpi xmlns:a14="http://schemas.microsoft.com/office/drawing/2010/main" val="0"/>
                      </a:ext>
                    </a:extLst>
                  </a:blip>
                  <a:srcRect l="885"/>
                  <a:stretch>
                    <a:fillRect/>
                  </a:stretch>
                </pic:blipFill>
                <pic:spPr bwMode="auto">
                  <a:xfrm>
                    <a:off x="0" y="0"/>
                    <a:ext cx="6120130" cy="461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232"/>
    <w:multiLevelType w:val="hybridMultilevel"/>
    <w:tmpl w:val="96DA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6202"/>
    <w:rsid w:val="00011E72"/>
    <w:rsid w:val="00040F89"/>
    <w:rsid w:val="0004124E"/>
    <w:rsid w:val="00050D35"/>
    <w:rsid w:val="00064CAA"/>
    <w:rsid w:val="00090FC1"/>
    <w:rsid w:val="000912A7"/>
    <w:rsid w:val="000A2B98"/>
    <w:rsid w:val="000A55EC"/>
    <w:rsid w:val="000D3DDB"/>
    <w:rsid w:val="000D43FC"/>
    <w:rsid w:val="000E4482"/>
    <w:rsid w:val="00106317"/>
    <w:rsid w:val="00121ED2"/>
    <w:rsid w:val="001305C7"/>
    <w:rsid w:val="001305DA"/>
    <w:rsid w:val="00131509"/>
    <w:rsid w:val="0013182B"/>
    <w:rsid w:val="00135825"/>
    <w:rsid w:val="00144BA2"/>
    <w:rsid w:val="00145B8D"/>
    <w:rsid w:val="00152FA0"/>
    <w:rsid w:val="00154367"/>
    <w:rsid w:val="00167521"/>
    <w:rsid w:val="00170A4F"/>
    <w:rsid w:val="00190888"/>
    <w:rsid w:val="001A40E7"/>
    <w:rsid w:val="001B0C8E"/>
    <w:rsid w:val="001B1170"/>
    <w:rsid w:val="001C408D"/>
    <w:rsid w:val="001C65A1"/>
    <w:rsid w:val="001D644B"/>
    <w:rsid w:val="001D6B6F"/>
    <w:rsid w:val="001D7CB1"/>
    <w:rsid w:val="001F0A03"/>
    <w:rsid w:val="00200976"/>
    <w:rsid w:val="00204BB4"/>
    <w:rsid w:val="00206555"/>
    <w:rsid w:val="00217F0B"/>
    <w:rsid w:val="0022706D"/>
    <w:rsid w:val="002272E6"/>
    <w:rsid w:val="00236985"/>
    <w:rsid w:val="0024361D"/>
    <w:rsid w:val="002463FA"/>
    <w:rsid w:val="00250A72"/>
    <w:rsid w:val="00253808"/>
    <w:rsid w:val="00277762"/>
    <w:rsid w:val="00291328"/>
    <w:rsid w:val="002B26E3"/>
    <w:rsid w:val="002B4F87"/>
    <w:rsid w:val="002C65C4"/>
    <w:rsid w:val="002D2535"/>
    <w:rsid w:val="002F1479"/>
    <w:rsid w:val="002F6767"/>
    <w:rsid w:val="00311139"/>
    <w:rsid w:val="00311945"/>
    <w:rsid w:val="003215D4"/>
    <w:rsid w:val="00332AD2"/>
    <w:rsid w:val="003546D4"/>
    <w:rsid w:val="0035752A"/>
    <w:rsid w:val="003579A3"/>
    <w:rsid w:val="003609C0"/>
    <w:rsid w:val="00395351"/>
    <w:rsid w:val="003A5851"/>
    <w:rsid w:val="003B007B"/>
    <w:rsid w:val="003B1B36"/>
    <w:rsid w:val="003B3668"/>
    <w:rsid w:val="003B545F"/>
    <w:rsid w:val="003E4EB3"/>
    <w:rsid w:val="003E60D7"/>
    <w:rsid w:val="004117D5"/>
    <w:rsid w:val="004379EA"/>
    <w:rsid w:val="00455C9B"/>
    <w:rsid w:val="004643D7"/>
    <w:rsid w:val="004735C1"/>
    <w:rsid w:val="00475B1F"/>
    <w:rsid w:val="0048296D"/>
    <w:rsid w:val="00486A35"/>
    <w:rsid w:val="004F11FF"/>
    <w:rsid w:val="0051157D"/>
    <w:rsid w:val="00515A8C"/>
    <w:rsid w:val="00534832"/>
    <w:rsid w:val="00552634"/>
    <w:rsid w:val="00563AE4"/>
    <w:rsid w:val="005678FA"/>
    <w:rsid w:val="00576E7C"/>
    <w:rsid w:val="005A7335"/>
    <w:rsid w:val="005C338E"/>
    <w:rsid w:val="005C5FAF"/>
    <w:rsid w:val="005D06AB"/>
    <w:rsid w:val="005D7FB8"/>
    <w:rsid w:val="005F1C96"/>
    <w:rsid w:val="005F53EF"/>
    <w:rsid w:val="0061026D"/>
    <w:rsid w:val="006128A7"/>
    <w:rsid w:val="00614853"/>
    <w:rsid w:val="00635A34"/>
    <w:rsid w:val="00635FCD"/>
    <w:rsid w:val="006361CB"/>
    <w:rsid w:val="0063625B"/>
    <w:rsid w:val="00643FB9"/>
    <w:rsid w:val="006474EC"/>
    <w:rsid w:val="00682448"/>
    <w:rsid w:val="0068763B"/>
    <w:rsid w:val="0069089D"/>
    <w:rsid w:val="006A00C0"/>
    <w:rsid w:val="006B45B3"/>
    <w:rsid w:val="006C4AD0"/>
    <w:rsid w:val="006C4B33"/>
    <w:rsid w:val="006C5C8A"/>
    <w:rsid w:val="006C6C1C"/>
    <w:rsid w:val="006D4CB3"/>
    <w:rsid w:val="006E75DA"/>
    <w:rsid w:val="0070040A"/>
    <w:rsid w:val="00710E46"/>
    <w:rsid w:val="00710F96"/>
    <w:rsid w:val="00714462"/>
    <w:rsid w:val="00714C3C"/>
    <w:rsid w:val="00730C43"/>
    <w:rsid w:val="00745206"/>
    <w:rsid w:val="0075147D"/>
    <w:rsid w:val="00751C29"/>
    <w:rsid w:val="00754586"/>
    <w:rsid w:val="007614F1"/>
    <w:rsid w:val="00764B22"/>
    <w:rsid w:val="0077363A"/>
    <w:rsid w:val="00783C7F"/>
    <w:rsid w:val="007931F1"/>
    <w:rsid w:val="00793355"/>
    <w:rsid w:val="007A3C2A"/>
    <w:rsid w:val="007B7FE3"/>
    <w:rsid w:val="007D0333"/>
    <w:rsid w:val="007F3648"/>
    <w:rsid w:val="008144D1"/>
    <w:rsid w:val="0081528E"/>
    <w:rsid w:val="00816DB5"/>
    <w:rsid w:val="00837CB1"/>
    <w:rsid w:val="00844B09"/>
    <w:rsid w:val="008533DA"/>
    <w:rsid w:val="008571A1"/>
    <w:rsid w:val="00860074"/>
    <w:rsid w:val="00872CB8"/>
    <w:rsid w:val="00887553"/>
    <w:rsid w:val="00894632"/>
    <w:rsid w:val="00897C19"/>
    <w:rsid w:val="008B33FA"/>
    <w:rsid w:val="008C3510"/>
    <w:rsid w:val="008D005C"/>
    <w:rsid w:val="008D44D7"/>
    <w:rsid w:val="009028AD"/>
    <w:rsid w:val="00907FD6"/>
    <w:rsid w:val="00910E1A"/>
    <w:rsid w:val="00912206"/>
    <w:rsid w:val="009176F3"/>
    <w:rsid w:val="00920D7E"/>
    <w:rsid w:val="00950655"/>
    <w:rsid w:val="009514FB"/>
    <w:rsid w:val="009577E9"/>
    <w:rsid w:val="00963889"/>
    <w:rsid w:val="00966320"/>
    <w:rsid w:val="00970BE9"/>
    <w:rsid w:val="00982A69"/>
    <w:rsid w:val="009A256A"/>
    <w:rsid w:val="009B6506"/>
    <w:rsid w:val="009C1F62"/>
    <w:rsid w:val="009C4277"/>
    <w:rsid w:val="009D1AEB"/>
    <w:rsid w:val="00A120DB"/>
    <w:rsid w:val="00A15AED"/>
    <w:rsid w:val="00A26E30"/>
    <w:rsid w:val="00A3587B"/>
    <w:rsid w:val="00A44040"/>
    <w:rsid w:val="00A64D7B"/>
    <w:rsid w:val="00A676D8"/>
    <w:rsid w:val="00A92CE8"/>
    <w:rsid w:val="00A95118"/>
    <w:rsid w:val="00A975B5"/>
    <w:rsid w:val="00AA5E6B"/>
    <w:rsid w:val="00AB187C"/>
    <w:rsid w:val="00AB5AC1"/>
    <w:rsid w:val="00AD4A07"/>
    <w:rsid w:val="00AE3FFB"/>
    <w:rsid w:val="00AF1064"/>
    <w:rsid w:val="00AF6C52"/>
    <w:rsid w:val="00B01806"/>
    <w:rsid w:val="00B01C9C"/>
    <w:rsid w:val="00B44F14"/>
    <w:rsid w:val="00B50057"/>
    <w:rsid w:val="00B6310A"/>
    <w:rsid w:val="00B6556D"/>
    <w:rsid w:val="00B705BF"/>
    <w:rsid w:val="00B82ECA"/>
    <w:rsid w:val="00B966FE"/>
    <w:rsid w:val="00BB38FA"/>
    <w:rsid w:val="00BB730C"/>
    <w:rsid w:val="00BC79AF"/>
    <w:rsid w:val="00BE6FC5"/>
    <w:rsid w:val="00C01C95"/>
    <w:rsid w:val="00C06A9C"/>
    <w:rsid w:val="00C14EDA"/>
    <w:rsid w:val="00C22107"/>
    <w:rsid w:val="00C3331C"/>
    <w:rsid w:val="00C445D1"/>
    <w:rsid w:val="00C669A5"/>
    <w:rsid w:val="00C66E46"/>
    <w:rsid w:val="00C81935"/>
    <w:rsid w:val="00C85E7A"/>
    <w:rsid w:val="00C90AB0"/>
    <w:rsid w:val="00CD29DF"/>
    <w:rsid w:val="00CD59D5"/>
    <w:rsid w:val="00CE487F"/>
    <w:rsid w:val="00CF1498"/>
    <w:rsid w:val="00CF3E69"/>
    <w:rsid w:val="00CF75F5"/>
    <w:rsid w:val="00D0507A"/>
    <w:rsid w:val="00D149FC"/>
    <w:rsid w:val="00D220D0"/>
    <w:rsid w:val="00D22732"/>
    <w:rsid w:val="00D24675"/>
    <w:rsid w:val="00D43663"/>
    <w:rsid w:val="00D56A51"/>
    <w:rsid w:val="00D56E44"/>
    <w:rsid w:val="00D602ED"/>
    <w:rsid w:val="00D65317"/>
    <w:rsid w:val="00D748C7"/>
    <w:rsid w:val="00D76C75"/>
    <w:rsid w:val="00D829B0"/>
    <w:rsid w:val="00D85DC6"/>
    <w:rsid w:val="00D87003"/>
    <w:rsid w:val="00DB08B7"/>
    <w:rsid w:val="00DB3F95"/>
    <w:rsid w:val="00DC146C"/>
    <w:rsid w:val="00DC3083"/>
    <w:rsid w:val="00DE17B8"/>
    <w:rsid w:val="00DE6653"/>
    <w:rsid w:val="00DE6D0F"/>
    <w:rsid w:val="00DF45C5"/>
    <w:rsid w:val="00DF5D36"/>
    <w:rsid w:val="00E129D3"/>
    <w:rsid w:val="00E140DF"/>
    <w:rsid w:val="00E21F08"/>
    <w:rsid w:val="00E31727"/>
    <w:rsid w:val="00E32E39"/>
    <w:rsid w:val="00E43078"/>
    <w:rsid w:val="00E6191B"/>
    <w:rsid w:val="00E70CE9"/>
    <w:rsid w:val="00E927F3"/>
    <w:rsid w:val="00E92D16"/>
    <w:rsid w:val="00E96532"/>
    <w:rsid w:val="00EC755D"/>
    <w:rsid w:val="00ED535D"/>
    <w:rsid w:val="00EE039E"/>
    <w:rsid w:val="00EE088A"/>
    <w:rsid w:val="00F01F1C"/>
    <w:rsid w:val="00F04CED"/>
    <w:rsid w:val="00F10015"/>
    <w:rsid w:val="00F12AF5"/>
    <w:rsid w:val="00F21E61"/>
    <w:rsid w:val="00F27DFE"/>
    <w:rsid w:val="00F31ADF"/>
    <w:rsid w:val="00F44131"/>
    <w:rsid w:val="00F55632"/>
    <w:rsid w:val="00F646E3"/>
    <w:rsid w:val="00F842CA"/>
    <w:rsid w:val="00F974A5"/>
    <w:rsid w:val="00FB23B9"/>
    <w:rsid w:val="00FC7BDC"/>
    <w:rsid w:val="00FE003D"/>
    <w:rsid w:val="00FE6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90B8"/>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1,List Paragraph,Akapit z listą1,Wyliczanie,Akapit z listą31,Numerowanie"/>
    <w:basedOn w:val="Normalny"/>
    <w:link w:val="AkapitzlistZnak"/>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176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76F3"/>
    <w:rPr>
      <w:rFonts w:ascii="Arial" w:hAnsi="Arial"/>
      <w:sz w:val="20"/>
      <w:szCs w:val="20"/>
    </w:rPr>
  </w:style>
  <w:style w:type="character" w:styleId="Odwoanieprzypisukocowego">
    <w:name w:val="endnote reference"/>
    <w:basedOn w:val="Domylnaczcionkaakapitu"/>
    <w:uiPriority w:val="99"/>
    <w:semiHidden/>
    <w:unhideWhenUsed/>
    <w:rsid w:val="009176F3"/>
    <w:rPr>
      <w:vertAlign w:val="superscript"/>
    </w:rPr>
  </w:style>
  <w:style w:type="character" w:styleId="UyteHipercze">
    <w:name w:val="FollowedHyperlink"/>
    <w:basedOn w:val="Domylnaczcionkaakapitu"/>
    <w:uiPriority w:val="99"/>
    <w:semiHidden/>
    <w:unhideWhenUsed/>
    <w:rsid w:val="004735C1"/>
    <w:rPr>
      <w:color w:val="954F72" w:themeColor="followedHyperlink"/>
      <w:u w:val="single"/>
    </w:rPr>
  </w:style>
  <w:style w:type="character" w:customStyle="1" w:styleId="AkapitzlistZnak">
    <w:name w:val="Akapit z listą Znak"/>
    <w:aliases w:val="BulletC Znak,Obiekt Znak,List Paragraph1 Znak,List Paragraph Znak,Akapit z listą1 Znak,Wyliczanie Znak,Akapit z listą31 Znak,Numerowanie Znak"/>
    <w:link w:val="Akapitzlist"/>
    <w:uiPriority w:val="34"/>
    <w:locked/>
    <w:rsid w:val="00DE6D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0276">
      <w:bodyDiv w:val="1"/>
      <w:marLeft w:val="0"/>
      <w:marRight w:val="0"/>
      <w:marTop w:val="0"/>
      <w:marBottom w:val="0"/>
      <w:divBdr>
        <w:top w:val="none" w:sz="0" w:space="0" w:color="auto"/>
        <w:left w:val="none" w:sz="0" w:space="0" w:color="auto"/>
        <w:bottom w:val="none" w:sz="0" w:space="0" w:color="auto"/>
        <w:right w:val="none" w:sz="0" w:space="0" w:color="auto"/>
      </w:divBdr>
    </w:div>
    <w:div w:id="635336890">
      <w:bodyDiv w:val="1"/>
      <w:marLeft w:val="0"/>
      <w:marRight w:val="0"/>
      <w:marTop w:val="0"/>
      <w:marBottom w:val="0"/>
      <w:divBdr>
        <w:top w:val="none" w:sz="0" w:space="0" w:color="auto"/>
        <w:left w:val="none" w:sz="0" w:space="0" w:color="auto"/>
        <w:bottom w:val="none" w:sz="0" w:space="0" w:color="auto"/>
        <w:right w:val="none" w:sz="0" w:space="0" w:color="auto"/>
      </w:divBdr>
    </w:div>
    <w:div w:id="8320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82F9-9B41-4569-88BB-0BAE8ABB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Towary jadą po torach do portu w Gdańsku sprawniej i szybciej</vt:lpstr>
    </vt:vector>
  </TitlesOfParts>
  <Company>PKP PLK S.A.</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Towary jadą po torach do portu w Gdańsku sprawniej i szybciej</dc:title>
  <dc:subject/>
  <dc:creator>PKP Polskie Linie Kolejowe S.A.</dc:creator>
  <cp:keywords/>
  <dc:description/>
  <cp:lastModifiedBy>Zieliński Przemysław</cp:lastModifiedBy>
  <cp:revision>23</cp:revision>
  <cp:lastPrinted>2022-03-23T08:42:00Z</cp:lastPrinted>
  <dcterms:created xsi:type="dcterms:W3CDTF">2022-11-29T08:12:00Z</dcterms:created>
  <dcterms:modified xsi:type="dcterms:W3CDTF">2023-02-14T07:59:00Z</dcterms:modified>
</cp:coreProperties>
</file>