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29252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29252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FF1ADA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760359">
        <w:rPr>
          <w:rFonts w:ascii="Arial" w:hAnsi="Arial" w:cs="Arial"/>
        </w:rPr>
        <w:t>2</w:t>
      </w:r>
      <w:r w:rsidR="009308E5">
        <w:rPr>
          <w:rFonts w:ascii="Arial" w:hAnsi="Arial" w:cs="Arial"/>
        </w:rPr>
        <w:t>2</w:t>
      </w:r>
      <w:r w:rsidR="0068786E">
        <w:rPr>
          <w:rFonts w:ascii="Arial" w:hAnsi="Arial" w:cs="Arial"/>
        </w:rPr>
        <w:t xml:space="preserve"> listopada </w:t>
      </w:r>
      <w:r w:rsidR="000A7728" w:rsidRPr="00CD3D15">
        <w:rPr>
          <w:rFonts w:ascii="Arial" w:hAnsi="Arial" w:cs="Arial"/>
        </w:rPr>
        <w:t>201</w:t>
      </w:r>
      <w:r w:rsidR="0068786E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FF1AD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FF1ADA" w:rsidRPr="00983D6C" w:rsidRDefault="00FF1ADA" w:rsidP="00FF1ADA">
      <w:pPr>
        <w:spacing w:after="0" w:line="360" w:lineRule="auto"/>
        <w:jc w:val="both"/>
        <w:rPr>
          <w:rFonts w:ascii="Arial" w:hAnsi="Arial" w:cs="Arial"/>
          <w:b/>
        </w:rPr>
      </w:pPr>
      <w:r w:rsidRPr="00983D6C">
        <w:rPr>
          <w:rFonts w:ascii="Arial" w:hAnsi="Arial" w:cs="Arial"/>
          <w:b/>
        </w:rPr>
        <w:t xml:space="preserve">PLK największym beneficjentem środków z programu CEF </w:t>
      </w:r>
    </w:p>
    <w:p w:rsidR="00FF1ADA" w:rsidRDefault="00FF1ADA" w:rsidP="00FF1ADA">
      <w:pPr>
        <w:spacing w:after="0" w:line="360" w:lineRule="auto"/>
        <w:jc w:val="both"/>
        <w:rPr>
          <w:rFonts w:ascii="Arial" w:hAnsi="Arial" w:cs="Arial"/>
          <w:b/>
        </w:rPr>
      </w:pPr>
    </w:p>
    <w:p w:rsidR="00FF1ADA" w:rsidRPr="00983D6C" w:rsidRDefault="00FF1ADA" w:rsidP="00FF1ADA">
      <w:pPr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983D6C">
        <w:rPr>
          <w:rFonts w:ascii="Arial" w:hAnsi="Arial" w:cs="Arial"/>
          <w:b/>
        </w:rPr>
        <w:t xml:space="preserve">PKP Polskie Linie Kolejowe S.A. są największym beneficjentem środków unijnych </w:t>
      </w:r>
      <w:r>
        <w:rPr>
          <w:rFonts w:ascii="Arial" w:hAnsi="Arial" w:cs="Arial"/>
          <w:b/>
        </w:rPr>
        <w:br/>
      </w:r>
      <w:r w:rsidRPr="00983D6C">
        <w:rPr>
          <w:rFonts w:ascii="Arial" w:hAnsi="Arial" w:cs="Arial"/>
          <w:b/>
        </w:rPr>
        <w:t>z instrumentu finansowego „Łącząc Europę”</w:t>
      </w:r>
      <w:r w:rsidRPr="00983D6C">
        <w:rPr>
          <w:rFonts w:ascii="Arial" w:hAnsi="Arial" w:cs="Arial"/>
          <w:b/>
          <w:lang w:eastAsia="pl-PL"/>
        </w:rPr>
        <w:t xml:space="preserve">. Na realizację 10 inwestycji z drugiego naboru CEF, otrzymały 1,6 mld euro. Na liście dofinansowanych projektów znalazły się m.in. modernizacja </w:t>
      </w:r>
      <w:r>
        <w:rPr>
          <w:rFonts w:ascii="Arial" w:hAnsi="Arial" w:cs="Arial"/>
          <w:b/>
          <w:lang w:eastAsia="pl-PL"/>
        </w:rPr>
        <w:t xml:space="preserve">linii na Śląsku, w Krakowie i infrastruktura w portach Trójmiasta,  Szczecina i Świnoujścia. </w:t>
      </w:r>
    </w:p>
    <w:p w:rsidR="00114DA9" w:rsidRDefault="00114DA9" w:rsidP="00FF1ADA">
      <w:pPr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FF1ADA" w:rsidRPr="00114DA9" w:rsidRDefault="003C57D4" w:rsidP="00FF1ADA">
      <w:pPr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„</w:t>
      </w:r>
      <w:r w:rsidR="00FF1ADA" w:rsidRPr="00983D6C">
        <w:rPr>
          <w:rFonts w:ascii="Arial" w:hAnsi="Arial" w:cs="Arial"/>
          <w:lang w:eastAsia="pl-PL"/>
        </w:rPr>
        <w:t>Łącząc Europę</w:t>
      </w:r>
      <w:r>
        <w:rPr>
          <w:rFonts w:ascii="Arial" w:hAnsi="Arial" w:cs="Arial"/>
          <w:lang w:eastAsia="pl-PL"/>
        </w:rPr>
        <w:t>”</w:t>
      </w:r>
      <w:r w:rsidR="00FF1ADA" w:rsidRPr="00983D6C">
        <w:rPr>
          <w:rFonts w:ascii="Arial" w:hAnsi="Arial" w:cs="Arial"/>
          <w:lang w:eastAsia="pl-PL"/>
        </w:rPr>
        <w:t xml:space="preserve"> to jeden z najważniejszych projektów finansowania inwestycji infrastrukturalnych w Unii Europejskiej. W drugiej turze naboru, </w:t>
      </w:r>
      <w:r w:rsidR="00FF1ADA" w:rsidRPr="00D20B35">
        <w:rPr>
          <w:rFonts w:ascii="Arial" w:eastAsia="Times New Roman" w:hAnsi="Arial" w:cs="Arial"/>
          <w:lang w:eastAsia="pl-PL"/>
        </w:rPr>
        <w:t>który odbył się</w:t>
      </w:r>
      <w:r w:rsidR="00FF1ADA" w:rsidRPr="00983D6C">
        <w:rPr>
          <w:rFonts w:ascii="Arial" w:eastAsia="Times New Roman" w:hAnsi="Arial" w:cs="Arial"/>
          <w:lang w:eastAsia="pl-PL"/>
        </w:rPr>
        <w:t xml:space="preserve"> na przełomie 2015</w:t>
      </w:r>
      <w:r w:rsidR="00FF1ADA">
        <w:rPr>
          <w:rFonts w:ascii="Arial" w:eastAsia="Times New Roman" w:hAnsi="Arial" w:cs="Arial"/>
          <w:lang w:eastAsia="pl-PL"/>
        </w:rPr>
        <w:t>/</w:t>
      </w:r>
      <w:r w:rsidR="00FF1ADA" w:rsidRPr="00983D6C">
        <w:rPr>
          <w:rFonts w:ascii="Arial" w:eastAsia="Times New Roman" w:hAnsi="Arial" w:cs="Arial"/>
          <w:lang w:eastAsia="pl-PL"/>
        </w:rPr>
        <w:t xml:space="preserve">16 r., </w:t>
      </w:r>
      <w:r w:rsidR="00FF1ADA" w:rsidRPr="00983D6C">
        <w:rPr>
          <w:rFonts w:ascii="Arial" w:hAnsi="Arial" w:cs="Arial"/>
          <w:lang w:eastAsia="pl-PL"/>
        </w:rPr>
        <w:t xml:space="preserve">UE przyznała Polsce </w:t>
      </w:r>
      <w:r w:rsidR="00FF1ADA" w:rsidRPr="00983D6C">
        <w:rPr>
          <w:rFonts w:ascii="Arial" w:hAnsi="Arial" w:cs="Arial"/>
          <w:shd w:val="clear" w:color="auto" w:fill="FFFFFF"/>
        </w:rPr>
        <w:t>prawie 1,9 mld euro</w:t>
      </w:r>
      <w:r w:rsidR="00FF1ADA" w:rsidRPr="00983D6C">
        <w:rPr>
          <w:rFonts w:ascii="Arial" w:hAnsi="Arial" w:cs="Arial"/>
          <w:lang w:eastAsia="pl-PL"/>
        </w:rPr>
        <w:t xml:space="preserve"> na realizację 16 projektów inwestycyjnych, większość </w:t>
      </w:r>
      <w:r w:rsidR="00FF1ADA">
        <w:rPr>
          <w:rFonts w:ascii="Arial" w:hAnsi="Arial" w:cs="Arial"/>
          <w:lang w:eastAsia="pl-PL"/>
        </w:rPr>
        <w:t xml:space="preserve">na </w:t>
      </w:r>
      <w:r w:rsidR="00FF1ADA" w:rsidRPr="00983D6C">
        <w:rPr>
          <w:rFonts w:ascii="Arial" w:hAnsi="Arial" w:cs="Arial"/>
          <w:lang w:eastAsia="pl-PL"/>
        </w:rPr>
        <w:t xml:space="preserve">inwestycje kolejowe. </w:t>
      </w:r>
      <w:r>
        <w:rPr>
          <w:rFonts w:ascii="Arial" w:hAnsi="Arial" w:cs="Arial"/>
          <w:lang w:eastAsia="pl-PL"/>
        </w:rPr>
        <w:t xml:space="preserve">Wnioski </w:t>
      </w:r>
      <w:r w:rsidR="00FF1ADA">
        <w:rPr>
          <w:rFonts w:ascii="Arial" w:hAnsi="Arial" w:cs="Arial"/>
          <w:shd w:val="clear" w:color="auto" w:fill="FFFFFF"/>
        </w:rPr>
        <w:t xml:space="preserve">PLK, </w:t>
      </w:r>
      <w:r w:rsidR="00FF1ADA" w:rsidRPr="00591AD4">
        <w:rPr>
          <w:rFonts w:ascii="Arial" w:hAnsi="Arial" w:cs="Arial"/>
          <w:shd w:val="clear" w:color="auto" w:fill="FFFFFF"/>
        </w:rPr>
        <w:t>jak</w:t>
      </w:r>
      <w:r w:rsidR="00286443">
        <w:rPr>
          <w:rFonts w:ascii="Arial" w:hAnsi="Arial" w:cs="Arial"/>
          <w:shd w:val="clear" w:color="auto" w:fill="FFFFFF"/>
        </w:rPr>
        <w:t xml:space="preserve"> i innych</w:t>
      </w:r>
      <w:r w:rsidR="00FF1ADA">
        <w:rPr>
          <w:rFonts w:ascii="Arial" w:hAnsi="Arial" w:cs="Arial"/>
          <w:shd w:val="clear" w:color="auto" w:fill="FFFFFF"/>
        </w:rPr>
        <w:t xml:space="preserve"> </w:t>
      </w:r>
      <w:r w:rsidR="00FF1ADA" w:rsidRPr="00591AD4">
        <w:rPr>
          <w:rFonts w:ascii="Arial" w:hAnsi="Arial" w:cs="Arial"/>
          <w:shd w:val="clear" w:color="auto" w:fill="FFFFFF"/>
        </w:rPr>
        <w:t>beneficjen</w:t>
      </w:r>
      <w:r>
        <w:rPr>
          <w:rFonts w:ascii="Arial" w:hAnsi="Arial" w:cs="Arial"/>
          <w:shd w:val="clear" w:color="auto" w:fill="FFFFFF"/>
        </w:rPr>
        <w:t>tów</w:t>
      </w:r>
      <w:r w:rsidR="00FF1ADA">
        <w:rPr>
          <w:rFonts w:ascii="Arial" w:hAnsi="Arial" w:cs="Arial"/>
          <w:shd w:val="clear" w:color="auto" w:fill="FFFFFF"/>
        </w:rPr>
        <w:t>,</w:t>
      </w:r>
      <w:r w:rsidR="00FF1ADA" w:rsidRPr="00591AD4">
        <w:rPr>
          <w:rFonts w:ascii="Arial" w:hAnsi="Arial" w:cs="Arial"/>
          <w:shd w:val="clear" w:color="auto" w:fill="FFFFFF"/>
        </w:rPr>
        <w:t xml:space="preserve"> został</w:t>
      </w:r>
      <w:r w:rsidR="00FF1ADA">
        <w:rPr>
          <w:rFonts w:ascii="Arial" w:hAnsi="Arial" w:cs="Arial"/>
          <w:shd w:val="clear" w:color="auto" w:fill="FFFFFF"/>
        </w:rPr>
        <w:t>y</w:t>
      </w:r>
      <w:r w:rsidR="00FF1ADA" w:rsidRPr="00591AD4">
        <w:rPr>
          <w:rFonts w:ascii="Arial" w:hAnsi="Arial" w:cs="Arial"/>
          <w:shd w:val="clear" w:color="auto" w:fill="FFFFFF"/>
        </w:rPr>
        <w:t xml:space="preserve"> pozytywnie ocenion</w:t>
      </w:r>
      <w:r w:rsidR="00FF1ADA">
        <w:rPr>
          <w:rFonts w:ascii="Arial" w:hAnsi="Arial" w:cs="Arial"/>
          <w:shd w:val="clear" w:color="auto" w:fill="FFFFFF"/>
        </w:rPr>
        <w:t>e</w:t>
      </w:r>
      <w:r w:rsidR="00FF1ADA" w:rsidRPr="00591AD4">
        <w:rPr>
          <w:rFonts w:ascii="Arial" w:hAnsi="Arial" w:cs="Arial"/>
          <w:shd w:val="clear" w:color="auto" w:fill="FFFFFF"/>
        </w:rPr>
        <w:t xml:space="preserve"> przez KE</w:t>
      </w:r>
      <w:r w:rsidR="00FF1ADA">
        <w:rPr>
          <w:rFonts w:ascii="Arial" w:hAnsi="Arial" w:cs="Arial"/>
          <w:i/>
          <w:shd w:val="clear" w:color="auto" w:fill="FFFFFF"/>
        </w:rPr>
        <w:t xml:space="preserve">. </w:t>
      </w:r>
    </w:p>
    <w:p w:rsidR="00114DA9" w:rsidRDefault="00114DA9" w:rsidP="00FF1ADA">
      <w:pPr>
        <w:spacing w:after="0" w:line="360" w:lineRule="auto"/>
        <w:jc w:val="both"/>
        <w:rPr>
          <w:rFonts w:ascii="Arial" w:hAnsi="Arial" w:cs="Arial"/>
          <w:i/>
          <w:shd w:val="clear" w:color="auto" w:fill="FFFFFF"/>
        </w:rPr>
      </w:pPr>
    </w:p>
    <w:p w:rsidR="00FF1ADA" w:rsidRPr="00591AD4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i/>
          <w:shd w:val="clear" w:color="auto" w:fill="FFFFFF"/>
        </w:rPr>
        <w:t>-</w:t>
      </w:r>
      <w:r w:rsidRPr="00983D6C">
        <w:rPr>
          <w:rFonts w:ascii="Arial" w:hAnsi="Arial" w:cs="Arial"/>
          <w:i/>
          <w:shd w:val="clear" w:color="auto" w:fill="FFFFFF"/>
        </w:rPr>
        <w:t xml:space="preserve"> Ten świetny wynik nie jest przypadkowy. To efekt nie tylko prac w ministerstwie ale także ciężkiej pracy beneficjentów, którzy przygotowali naprawdę dobre wnioski. Z radością będziemy kontynuować naszą współpracę przy realizacji programu </w:t>
      </w:r>
      <w:r w:rsidRPr="00983D6C">
        <w:rPr>
          <w:rFonts w:ascii="Arial" w:hAnsi="Arial" w:cs="Arial"/>
        </w:rPr>
        <w:t>„</w:t>
      </w:r>
      <w:r w:rsidRPr="00983D6C">
        <w:rPr>
          <w:rFonts w:ascii="Arial" w:hAnsi="Arial" w:cs="Arial"/>
          <w:i/>
          <w:shd w:val="clear" w:color="auto" w:fill="FFFFFF"/>
        </w:rPr>
        <w:t>Łącząc Europę”</w:t>
      </w:r>
      <w:r>
        <w:rPr>
          <w:rFonts w:ascii="Arial" w:hAnsi="Arial" w:cs="Arial"/>
          <w:i/>
          <w:shd w:val="clear" w:color="auto" w:fill="FFFFFF"/>
        </w:rPr>
        <w:t xml:space="preserve"> – </w:t>
      </w:r>
      <w:r w:rsidRPr="00591AD4">
        <w:rPr>
          <w:rFonts w:ascii="Arial" w:hAnsi="Arial" w:cs="Arial"/>
          <w:shd w:val="clear" w:color="auto" w:fill="FFFFFF"/>
        </w:rPr>
        <w:t xml:space="preserve">mówi </w:t>
      </w:r>
      <w:proofErr w:type="spellStart"/>
      <w:r w:rsidRPr="00591AD4">
        <w:rPr>
          <w:rFonts w:ascii="Arial" w:hAnsi="Arial" w:cs="Arial"/>
          <w:shd w:val="clear" w:color="auto" w:fill="FFFFFF"/>
        </w:rPr>
        <w:t>Stephane</w:t>
      </w:r>
      <w:proofErr w:type="spellEnd"/>
      <w:r w:rsidRPr="00591AD4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591AD4">
        <w:rPr>
          <w:rFonts w:ascii="Arial" w:hAnsi="Arial" w:cs="Arial"/>
          <w:shd w:val="clear" w:color="auto" w:fill="FFFFFF"/>
        </w:rPr>
        <w:t>Ouaki</w:t>
      </w:r>
      <w:proofErr w:type="spellEnd"/>
      <w:r w:rsidR="00BE03DE">
        <w:rPr>
          <w:rFonts w:ascii="Arial" w:hAnsi="Arial" w:cs="Arial"/>
          <w:shd w:val="clear" w:color="auto" w:fill="FFFFFF"/>
        </w:rPr>
        <w:t>,</w:t>
      </w:r>
      <w:r w:rsidRPr="00591AD4">
        <w:rPr>
          <w:rFonts w:ascii="Arial" w:hAnsi="Arial" w:cs="Arial"/>
          <w:shd w:val="clear" w:color="auto" w:fill="FFFFFF"/>
        </w:rPr>
        <w:t xml:space="preserve"> </w:t>
      </w:r>
      <w:r w:rsidRPr="00591AD4">
        <w:rPr>
          <w:rStyle w:val="apple-converted-space"/>
          <w:rFonts w:ascii="Arial" w:hAnsi="Arial" w:cs="Arial"/>
          <w:shd w:val="clear" w:color="auto" w:fill="FFFFFF"/>
        </w:rPr>
        <w:t>p</w:t>
      </w:r>
      <w:r w:rsidRPr="00591AD4">
        <w:rPr>
          <w:rFonts w:ascii="Arial" w:hAnsi="Arial" w:cs="Arial"/>
          <w:shd w:val="clear" w:color="auto" w:fill="FFFFFF"/>
        </w:rPr>
        <w:t>rzedstawiciel Komisji Europejskiej</w:t>
      </w:r>
      <w:r w:rsidR="00286443">
        <w:rPr>
          <w:rFonts w:ascii="Arial" w:hAnsi="Arial" w:cs="Arial"/>
          <w:shd w:val="clear" w:color="auto" w:fill="FFFFFF"/>
        </w:rPr>
        <w:t>.</w:t>
      </w:r>
      <w:r w:rsidRPr="00591AD4">
        <w:rPr>
          <w:rFonts w:ascii="Arial" w:hAnsi="Arial" w:cs="Arial"/>
          <w:shd w:val="clear" w:color="auto" w:fill="FFFFFF"/>
        </w:rPr>
        <w:t xml:space="preserve"> </w:t>
      </w:r>
    </w:p>
    <w:p w:rsidR="00114DA9" w:rsidRDefault="00114DA9" w:rsidP="00FF1ADA">
      <w:pPr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FF1ADA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83D6C">
        <w:rPr>
          <w:rFonts w:ascii="Arial" w:hAnsi="Arial" w:cs="Arial"/>
          <w:lang w:eastAsia="pl-PL"/>
        </w:rPr>
        <w:t xml:space="preserve">Wsparcie w ramach programu pozwala zwiększyć konkurencyjność i spójność gospodarczą oraz poprawić integrację społeczeństwa dzięki inwestycjom w rozwój transportu, energetyki </w:t>
      </w:r>
      <w:r>
        <w:rPr>
          <w:rFonts w:ascii="Arial" w:hAnsi="Arial" w:cs="Arial"/>
          <w:lang w:eastAsia="pl-PL"/>
        </w:rPr>
        <w:br/>
      </w:r>
      <w:r w:rsidRPr="00983D6C">
        <w:rPr>
          <w:rFonts w:ascii="Arial" w:hAnsi="Arial" w:cs="Arial"/>
          <w:lang w:eastAsia="pl-PL"/>
        </w:rPr>
        <w:t>i telekomunikacji w krajach członkowskich UE.</w:t>
      </w:r>
      <w:r>
        <w:rPr>
          <w:rFonts w:ascii="Arial" w:hAnsi="Arial" w:cs="Arial"/>
          <w:lang w:eastAsia="pl-PL"/>
        </w:rPr>
        <w:t xml:space="preserve"> </w:t>
      </w:r>
      <w:r>
        <w:rPr>
          <w:rFonts w:ascii="Arial" w:hAnsi="Arial" w:cs="Arial"/>
          <w:shd w:val="clear" w:color="auto" w:fill="FFFFFF"/>
        </w:rPr>
        <w:t>Znaczenie projektów PKP Polskich Linii Kolejowych S.A. podkreśliło również Ministerstwo Rozwoju</w:t>
      </w:r>
      <w:r w:rsidR="005000FB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114DA9" w:rsidRDefault="00114DA9" w:rsidP="00FF1ADA">
      <w:pPr>
        <w:spacing w:after="0" w:line="360" w:lineRule="auto"/>
        <w:jc w:val="both"/>
        <w:rPr>
          <w:rFonts w:ascii="Arial" w:hAnsi="Arial" w:cs="Arial"/>
          <w:i/>
          <w:shd w:val="clear" w:color="auto" w:fill="FFFFFF"/>
        </w:rPr>
      </w:pPr>
    </w:p>
    <w:p w:rsidR="00FF1ADA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i/>
          <w:shd w:val="clear" w:color="auto" w:fill="FFFFFF"/>
        </w:rPr>
        <w:t xml:space="preserve">- </w:t>
      </w:r>
      <w:r w:rsidRPr="00983D6C">
        <w:rPr>
          <w:rFonts w:ascii="Arial" w:hAnsi="Arial" w:cs="Arial"/>
          <w:i/>
          <w:shd w:val="clear" w:color="auto" w:fill="FFFFFF"/>
        </w:rPr>
        <w:t>Jest kilka projektów w zakresie łączenia polskich portów, zarówno portów Trójmiasta: Gdańska i Gdyni</w:t>
      </w:r>
      <w:r w:rsidR="00286443">
        <w:rPr>
          <w:rFonts w:ascii="Arial" w:hAnsi="Arial" w:cs="Arial"/>
          <w:i/>
          <w:shd w:val="clear" w:color="auto" w:fill="FFFFFF"/>
        </w:rPr>
        <w:t>,</w:t>
      </w:r>
      <w:r w:rsidRPr="00983D6C">
        <w:rPr>
          <w:rFonts w:ascii="Arial" w:hAnsi="Arial" w:cs="Arial"/>
          <w:i/>
          <w:shd w:val="clear" w:color="auto" w:fill="FFFFFF"/>
        </w:rPr>
        <w:t xml:space="preserve"> jak i portów w Szczecinie i Świnoujściu z infrastrukturą drogową kraju. Polska gospodarka uzyskuje znaczną ilość środków w zakresie możliwości realizowania dużych inwestycji transportowych</w:t>
      </w:r>
      <w:r>
        <w:rPr>
          <w:rFonts w:ascii="Arial" w:hAnsi="Arial" w:cs="Arial"/>
          <w:i/>
          <w:shd w:val="clear" w:color="auto" w:fill="FFFFFF"/>
        </w:rPr>
        <w:t xml:space="preserve"> - </w:t>
      </w:r>
      <w:r w:rsidRPr="00591AD4">
        <w:rPr>
          <w:rFonts w:ascii="Arial" w:hAnsi="Arial" w:cs="Arial"/>
          <w:shd w:val="clear" w:color="auto" w:fill="FFFFFF"/>
        </w:rPr>
        <w:t>zaznaczył Witold Słowik</w:t>
      </w:r>
      <w:r>
        <w:rPr>
          <w:rFonts w:ascii="Arial" w:hAnsi="Arial" w:cs="Arial"/>
          <w:shd w:val="clear" w:color="auto" w:fill="FFFFFF"/>
        </w:rPr>
        <w:t xml:space="preserve">, </w:t>
      </w:r>
      <w:r w:rsidRPr="00591AD4">
        <w:rPr>
          <w:rFonts w:ascii="Arial" w:hAnsi="Arial" w:cs="Arial"/>
          <w:shd w:val="clear" w:color="auto" w:fill="FFFFFF"/>
        </w:rPr>
        <w:t xml:space="preserve">wiceminister </w:t>
      </w:r>
      <w:r>
        <w:rPr>
          <w:rFonts w:ascii="Arial" w:hAnsi="Arial" w:cs="Arial"/>
          <w:shd w:val="clear" w:color="auto" w:fill="FFFFFF"/>
        </w:rPr>
        <w:t>Ministerstwa Rozwoju</w:t>
      </w:r>
      <w:r w:rsidR="00286443">
        <w:rPr>
          <w:rFonts w:ascii="Arial" w:hAnsi="Arial" w:cs="Arial"/>
          <w:shd w:val="clear" w:color="auto" w:fill="FFFFFF"/>
        </w:rPr>
        <w:t>.</w:t>
      </w:r>
    </w:p>
    <w:p w:rsidR="00FF1ADA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Efektem projektów CEF realizowanych przez PLK będzie ponad 500 km zmodernizowanych torów. Dla pasażerów to krótsze podróże i lepsza obsługa na stacjach i przystankach. Zyska kolejowy transport towarowy</w:t>
      </w:r>
      <w:r w:rsidR="00EA11A7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FF1ADA" w:rsidRPr="00983D6C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83D6C">
        <w:rPr>
          <w:rFonts w:ascii="Arial" w:hAnsi="Arial" w:cs="Arial"/>
          <w:lang w:eastAsia="pl-PL"/>
        </w:rPr>
        <w:t xml:space="preserve">- </w:t>
      </w:r>
      <w:r w:rsidRPr="00983D6C">
        <w:rPr>
          <w:rFonts w:ascii="Arial" w:hAnsi="Arial" w:cs="Arial"/>
          <w:i/>
        </w:rPr>
        <w:t xml:space="preserve">Bardzo ważne inwestycje finansowane w ramach programu to poprawa dojazdu do portów  </w:t>
      </w:r>
      <w:r>
        <w:rPr>
          <w:rFonts w:ascii="Arial" w:hAnsi="Arial" w:cs="Arial"/>
          <w:i/>
        </w:rPr>
        <w:br/>
      </w:r>
      <w:r w:rsidRPr="00983D6C">
        <w:rPr>
          <w:rFonts w:ascii="Arial" w:hAnsi="Arial" w:cs="Arial"/>
          <w:i/>
        </w:rPr>
        <w:t>w Gdańsku, Szczecinie, Świnoujściu i Gdyni. Ponadto w środkowej części Polski to inwestycja Łódź – Zduńska Wola. Mamy również projekty na południu Polski związane z poprawą dostęp</w:t>
      </w:r>
      <w:r>
        <w:rPr>
          <w:rFonts w:ascii="Arial" w:hAnsi="Arial" w:cs="Arial"/>
          <w:i/>
        </w:rPr>
        <w:t>ności w Krakowie i aglomeracji, a także</w:t>
      </w:r>
      <w:r w:rsidR="00286443">
        <w:rPr>
          <w:rFonts w:ascii="Arial" w:hAnsi="Arial" w:cs="Arial"/>
          <w:i/>
        </w:rPr>
        <w:t xml:space="preserve"> elektryfikację linii Węgliniec </w:t>
      </w:r>
      <w:r>
        <w:rPr>
          <w:rFonts w:ascii="Arial" w:hAnsi="Arial" w:cs="Arial"/>
          <w:i/>
        </w:rPr>
        <w:t>– Zgorzelec na Dolnym Śląsku</w:t>
      </w:r>
      <w:r w:rsidR="0028644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-</w:t>
      </w:r>
      <w:r w:rsidR="00286443">
        <w:rPr>
          <w:rFonts w:ascii="Arial" w:hAnsi="Arial" w:cs="Arial"/>
          <w:i/>
        </w:rPr>
        <w:t xml:space="preserve"> </w:t>
      </w:r>
      <w:bookmarkStart w:id="1" w:name="_GoBack"/>
      <w:bookmarkEnd w:id="1"/>
      <w:r w:rsidRPr="00983D6C">
        <w:rPr>
          <w:rFonts w:ascii="Arial" w:hAnsi="Arial" w:cs="Arial"/>
        </w:rPr>
        <w:t xml:space="preserve"> mówił Ireneusz </w:t>
      </w:r>
      <w:proofErr w:type="spellStart"/>
      <w:r w:rsidRPr="00983D6C">
        <w:rPr>
          <w:rFonts w:ascii="Arial" w:hAnsi="Arial" w:cs="Arial"/>
        </w:rPr>
        <w:t>Merchel</w:t>
      </w:r>
      <w:proofErr w:type="spellEnd"/>
      <w:r w:rsidRPr="00983D6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</w:t>
      </w:r>
      <w:r w:rsidRPr="00983D6C">
        <w:rPr>
          <w:rFonts w:ascii="Arial" w:hAnsi="Arial" w:cs="Arial"/>
        </w:rPr>
        <w:t xml:space="preserve">rezes </w:t>
      </w:r>
      <w:r w:rsidRPr="00983D6C">
        <w:rPr>
          <w:rFonts w:ascii="Arial" w:hAnsi="Arial" w:cs="Arial"/>
          <w:shd w:val="clear" w:color="auto" w:fill="FFFFFF"/>
        </w:rPr>
        <w:t>PKP Polskich Linii Kolejowych S.A.</w:t>
      </w:r>
    </w:p>
    <w:p w:rsidR="00FF1ADA" w:rsidRPr="00983D6C" w:rsidRDefault="00FF1ADA" w:rsidP="00FF1AD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:rsidR="00FF1ADA" w:rsidRPr="00983D6C" w:rsidRDefault="00FF1ADA" w:rsidP="00FF1ADA">
      <w:pPr>
        <w:spacing w:after="0" w:line="360" w:lineRule="auto"/>
        <w:jc w:val="both"/>
        <w:rPr>
          <w:rFonts w:ascii="Arial" w:hAnsi="Arial" w:cs="Arial"/>
          <w:b/>
        </w:rPr>
      </w:pPr>
      <w:r w:rsidRPr="00983D6C">
        <w:rPr>
          <w:rFonts w:ascii="Arial" w:hAnsi="Arial" w:cs="Arial"/>
          <w:b/>
          <w:shd w:val="clear" w:color="auto" w:fill="FFFFFF"/>
        </w:rPr>
        <w:t>Lista projektów PLK, które otrzymały dofinansowanie w II naborze CEF: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Modernizacja linii kolejowej E 30, etap II, odcinek Zabrze - Katowice – Kraków (wsparcie UE: 410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Prace na linii E 75 na odcinku Czyżew – Białystok (wsparcie UE 303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Prace na linii kolejowej E 30 na odcinku Kraków Główny Towarowy – Rudzice wraz z dobudową torów linii aglomeracyjnej (wsparcie UE: 320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Prace na liniach kolejowych nr 14, 811 na odcinku Łódź Kaliska - Zduńska Wola - Ostrów Wlkp., etap I: Łódź Kaliska - Zduńska Wola (wsparcie UE: 73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Poprawa infrastruktury  kolejowego dostępu do portu Gdańsk (wsparcie UE: 116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Prace na linii kolejowej E 20 na odcinku Siedlce - Terespol, etap III - LCS Terespol (wsparcie UE 110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Elektryfikacja linii kolejowych nr 274, 278 na odcinku Węgliniec – Zgorzelec (19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Poprawa dostępu kolejowego do portu morskiego w Gdyni (wsparcie UE: 162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Prace na podstawowych ciągach pasażerskich (E 30 i E 65) na obszarze Śląska, etap I: linia E 65 na odc. Będzin - Katowice - Tychy - Czechowice Dziedzice - Zebrzydowice, wraz z zabudową ERTMS na odc. do Zawiercia (wsparcie UE: 7,6 mln euro),</w:t>
      </w:r>
    </w:p>
    <w:p w:rsidR="00FF1ADA" w:rsidRPr="00983D6C" w:rsidRDefault="00FF1ADA" w:rsidP="00FF1ADA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983D6C">
        <w:rPr>
          <w:rFonts w:ascii="Arial" w:hAnsi="Arial" w:cs="Arial"/>
        </w:rPr>
        <w:t>Poprawa dostępu kolejowego do portów morskich w Szczecinie i Świnoujściu (122 mln euro);</w:t>
      </w:r>
    </w:p>
    <w:p w:rsidR="00152980" w:rsidRDefault="00E6703F" w:rsidP="00FF1AD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D116B">
        <w:rPr>
          <w:rFonts w:ascii="Arial" w:hAnsi="Arial" w:cs="Arial"/>
          <w:sz w:val="20"/>
          <w:szCs w:val="20"/>
        </w:rPr>
        <w:t>Mirosław Siemieniec</w:t>
      </w:r>
      <w:r w:rsidRPr="00ED116B">
        <w:rPr>
          <w:rFonts w:ascii="Arial" w:hAnsi="Arial" w:cs="Arial"/>
          <w:sz w:val="20"/>
          <w:szCs w:val="20"/>
        </w:rPr>
        <w:br/>
        <w:t>Rzecznik prasowy</w:t>
      </w:r>
      <w:r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Pr="00ED116B">
        <w:rPr>
          <w:rFonts w:ascii="Arial" w:hAnsi="Arial" w:cs="Arial"/>
          <w:sz w:val="20"/>
          <w:szCs w:val="20"/>
        </w:rPr>
        <w:br/>
      </w:r>
      <w:hyperlink r:id="rId10" w:history="1">
        <w:r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ED116B">
        <w:rPr>
          <w:rFonts w:ascii="Arial" w:hAnsi="Arial" w:cs="Arial"/>
          <w:sz w:val="20"/>
          <w:szCs w:val="20"/>
        </w:rPr>
        <w:br/>
        <w:t>tel. 694 480</w:t>
      </w:r>
      <w:r w:rsidR="00FD63C8">
        <w:rPr>
          <w:rFonts w:ascii="Arial" w:hAnsi="Arial" w:cs="Arial"/>
          <w:sz w:val="20"/>
          <w:szCs w:val="20"/>
        </w:rPr>
        <w:t> </w:t>
      </w:r>
      <w:r w:rsidRPr="00ED116B">
        <w:rPr>
          <w:rFonts w:ascii="Arial" w:hAnsi="Arial" w:cs="Arial"/>
          <w:sz w:val="20"/>
          <w:szCs w:val="20"/>
        </w:rPr>
        <w:t>239</w:t>
      </w:r>
      <w:bookmarkEnd w:id="0"/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lastRenderedPageBreak/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524" w:rsidRDefault="00292524" w:rsidP="00D5409C">
      <w:pPr>
        <w:spacing w:after="0" w:line="240" w:lineRule="auto"/>
      </w:pPr>
      <w:r>
        <w:separator/>
      </w:r>
    </w:p>
  </w:endnote>
  <w:endnote w:type="continuationSeparator" w:id="0">
    <w:p w:rsidR="00292524" w:rsidRDefault="0029252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8644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8644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524" w:rsidRDefault="00292524" w:rsidP="00D5409C">
      <w:pPr>
        <w:spacing w:after="0" w:line="240" w:lineRule="auto"/>
      </w:pPr>
      <w:r>
        <w:separator/>
      </w:r>
    </w:p>
  </w:footnote>
  <w:footnote w:type="continuationSeparator" w:id="0">
    <w:p w:rsidR="00292524" w:rsidRDefault="0029252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630B1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8D07C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BE191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D74DD"/>
    <w:multiLevelType w:val="hybridMultilevel"/>
    <w:tmpl w:val="694E5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DA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86443"/>
    <w:rsid w:val="00292524"/>
    <w:rsid w:val="002A551F"/>
    <w:rsid w:val="002B0A44"/>
    <w:rsid w:val="002B31E5"/>
    <w:rsid w:val="002B7F98"/>
    <w:rsid w:val="002C3283"/>
    <w:rsid w:val="002C46E6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57D4"/>
    <w:rsid w:val="003C72CA"/>
    <w:rsid w:val="003E5116"/>
    <w:rsid w:val="003E741A"/>
    <w:rsid w:val="003E758F"/>
    <w:rsid w:val="003F23FC"/>
    <w:rsid w:val="003F46E1"/>
    <w:rsid w:val="00416C22"/>
    <w:rsid w:val="004231ED"/>
    <w:rsid w:val="00431DC3"/>
    <w:rsid w:val="00436FBA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00FB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47F8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4B4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8E5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03D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2315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21E"/>
    <w:rsid w:val="00E80366"/>
    <w:rsid w:val="00E92C5E"/>
    <w:rsid w:val="00E92D3C"/>
    <w:rsid w:val="00E94291"/>
    <w:rsid w:val="00EA11A7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DA6955-9722-4C19-8253-EECCA1D4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E9391-EDC6-4DB6-AE18-2C9BC698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620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4336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3</cp:revision>
  <cp:lastPrinted>2016-11-23T13:36:00Z</cp:lastPrinted>
  <dcterms:created xsi:type="dcterms:W3CDTF">2016-11-23T13:47:00Z</dcterms:created>
  <dcterms:modified xsi:type="dcterms:W3CDTF">2016-11-23T14:00:00Z</dcterms:modified>
</cp:coreProperties>
</file>