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9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10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067A88" w:rsidRDefault="00CA5EA5" w:rsidP="00CA5EA5">
      <w:pPr>
        <w:jc w:val="right"/>
        <w:rPr>
          <w:rFonts w:ascii="Arial" w:hAnsi="Arial" w:cs="Arial"/>
          <w:b/>
        </w:rPr>
      </w:pPr>
      <w:r w:rsidRPr="00067A88">
        <w:rPr>
          <w:rFonts w:ascii="Arial" w:hAnsi="Arial" w:cs="Arial"/>
        </w:rPr>
        <w:t>Warszawa,</w:t>
      </w:r>
      <w:r w:rsidR="009028DE">
        <w:rPr>
          <w:rFonts w:ascii="Arial" w:hAnsi="Arial" w:cs="Arial"/>
        </w:rPr>
        <w:t xml:space="preserve"> 1</w:t>
      </w:r>
      <w:r w:rsidR="00DE3A59">
        <w:rPr>
          <w:rFonts w:ascii="Arial" w:hAnsi="Arial" w:cs="Arial"/>
        </w:rPr>
        <w:t>2</w:t>
      </w:r>
      <w:bookmarkStart w:id="0" w:name="_GoBack"/>
      <w:bookmarkEnd w:id="0"/>
      <w:r w:rsidR="000032E9">
        <w:rPr>
          <w:rFonts w:ascii="Arial" w:hAnsi="Arial" w:cs="Arial"/>
          <w:sz w:val="20"/>
          <w:szCs w:val="20"/>
        </w:rPr>
        <w:t xml:space="preserve"> </w:t>
      </w:r>
      <w:r w:rsidR="009028DE">
        <w:rPr>
          <w:rFonts w:ascii="Arial" w:hAnsi="Arial" w:cs="Arial"/>
          <w:sz w:val="20"/>
          <w:szCs w:val="20"/>
        </w:rPr>
        <w:t>marca</w:t>
      </w:r>
      <w:r w:rsidR="00071C8F">
        <w:rPr>
          <w:rFonts w:ascii="Arial" w:hAnsi="Arial" w:cs="Arial"/>
          <w:sz w:val="20"/>
          <w:szCs w:val="20"/>
        </w:rPr>
        <w:t xml:space="preserve"> </w:t>
      </w:r>
      <w:r w:rsidRPr="00067A88">
        <w:rPr>
          <w:rFonts w:ascii="Arial" w:hAnsi="Arial" w:cs="Arial"/>
          <w:sz w:val="20"/>
          <w:szCs w:val="20"/>
        </w:rPr>
        <w:t>201</w:t>
      </w:r>
      <w:r w:rsidR="008F38AC">
        <w:rPr>
          <w:rFonts w:ascii="Arial" w:hAnsi="Arial" w:cs="Arial"/>
          <w:sz w:val="20"/>
          <w:szCs w:val="20"/>
        </w:rPr>
        <w:t>4</w:t>
      </w:r>
      <w:r w:rsidRPr="00067A88">
        <w:rPr>
          <w:rFonts w:ascii="Arial" w:hAnsi="Arial" w:cs="Arial"/>
          <w:sz w:val="20"/>
          <w:szCs w:val="20"/>
        </w:rPr>
        <w:t xml:space="preserve"> r.</w:t>
      </w:r>
    </w:p>
    <w:p w:rsidR="00CA5EA5" w:rsidRDefault="00CA5EA5" w:rsidP="00010CA2">
      <w:pPr>
        <w:rPr>
          <w:rFonts w:ascii="Arial" w:hAnsi="Arial" w:cs="Arial"/>
          <w:b/>
        </w:rPr>
      </w:pPr>
    </w:p>
    <w:p w:rsidR="00510D99" w:rsidRDefault="00067A88" w:rsidP="009028DE">
      <w:pPr>
        <w:spacing w:line="360" w:lineRule="auto"/>
        <w:rPr>
          <w:rFonts w:ascii="Arial" w:hAnsi="Arial" w:cs="Arial"/>
          <w:b/>
        </w:rPr>
      </w:pPr>
      <w:r w:rsidRPr="009028DE">
        <w:rPr>
          <w:rFonts w:ascii="Arial" w:hAnsi="Arial" w:cs="Arial"/>
          <w:b/>
        </w:rPr>
        <w:t>I</w:t>
      </w:r>
      <w:r w:rsidR="0086431B" w:rsidRPr="009028DE">
        <w:rPr>
          <w:rFonts w:ascii="Arial" w:hAnsi="Arial" w:cs="Arial"/>
          <w:b/>
        </w:rPr>
        <w:t>nformacja prasowa</w:t>
      </w:r>
      <w:r w:rsidR="00250CDF" w:rsidRPr="009028DE">
        <w:rPr>
          <w:rFonts w:ascii="Arial" w:hAnsi="Arial" w:cs="Arial"/>
          <w:b/>
        </w:rPr>
        <w:tab/>
      </w:r>
    </w:p>
    <w:p w:rsidR="00D50774" w:rsidRDefault="00D50774" w:rsidP="009028DE">
      <w:pPr>
        <w:spacing w:line="360" w:lineRule="auto"/>
        <w:rPr>
          <w:rFonts w:ascii="Arial" w:hAnsi="Arial" w:cs="Arial"/>
          <w:b/>
        </w:rPr>
      </w:pPr>
    </w:p>
    <w:p w:rsidR="00D50774" w:rsidRPr="000C7C34" w:rsidRDefault="00D50774" w:rsidP="00D50774">
      <w:pPr>
        <w:pStyle w:val="bodytext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7C34">
        <w:rPr>
          <w:rFonts w:ascii="Arial" w:hAnsi="Arial" w:cs="Arial"/>
          <w:b/>
          <w:sz w:val="22"/>
          <w:szCs w:val="22"/>
        </w:rPr>
        <w:t xml:space="preserve">Kolejny rok stabilnych stawek </w:t>
      </w:r>
      <w:r>
        <w:rPr>
          <w:rFonts w:ascii="Arial" w:hAnsi="Arial" w:cs="Arial"/>
          <w:b/>
          <w:sz w:val="22"/>
          <w:szCs w:val="22"/>
        </w:rPr>
        <w:t>PLK</w:t>
      </w:r>
    </w:p>
    <w:p w:rsidR="00D50774" w:rsidRPr="000C7C34" w:rsidRDefault="00D50774" w:rsidP="00D50774">
      <w:pPr>
        <w:pStyle w:val="bodytext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C7C34">
        <w:rPr>
          <w:rFonts w:ascii="Arial" w:hAnsi="Arial" w:cs="Arial"/>
          <w:b/>
          <w:bCs/>
          <w:sz w:val="22"/>
          <w:szCs w:val="22"/>
        </w:rPr>
        <w:t xml:space="preserve">PKP Polskie Linie Kolejowe S.A. przekazały do Urzędu Transportu Kolejowego projekt cennika dostępu do torów na </w:t>
      </w:r>
      <w:r>
        <w:rPr>
          <w:rFonts w:ascii="Arial" w:hAnsi="Arial" w:cs="Arial"/>
          <w:b/>
          <w:bCs/>
          <w:sz w:val="22"/>
          <w:szCs w:val="22"/>
        </w:rPr>
        <w:t>rozkład</w:t>
      </w:r>
      <w:r w:rsidRPr="000C7C34">
        <w:rPr>
          <w:rFonts w:ascii="Arial" w:hAnsi="Arial" w:cs="Arial"/>
          <w:b/>
          <w:bCs/>
          <w:sz w:val="22"/>
          <w:szCs w:val="22"/>
        </w:rPr>
        <w:t xml:space="preserve"> jazdy pociągów 2014/2015. Zasady i założenia przyjęte do kalkulacji stawek są takie same, jak w roku ubiegłym. Zarządca infrastruktury wypełnił tym samym deklarację utrzymania poziomu stawek. Średnia stawka sieciowa jest niższa o 0,11 % wobec cennika na rok 2013/14.</w:t>
      </w:r>
    </w:p>
    <w:p w:rsidR="00D50774" w:rsidRPr="000C7C34" w:rsidRDefault="00D50774" w:rsidP="00D50774">
      <w:pPr>
        <w:spacing w:line="360" w:lineRule="auto"/>
        <w:jc w:val="both"/>
        <w:rPr>
          <w:rFonts w:ascii="Arial" w:hAnsi="Arial" w:cs="Arial"/>
          <w:bCs/>
        </w:rPr>
      </w:pPr>
      <w:r w:rsidRPr="000C7C34">
        <w:rPr>
          <w:rFonts w:ascii="Arial" w:hAnsi="Arial" w:cs="Arial"/>
          <w:bCs/>
          <w:i/>
        </w:rPr>
        <w:t>- Projekt nowego cennika dostępu do infrastruktury kolejowej potwierdza ważną, ubiegłoroczną deklarację PLK, o utrzymaniu średniej stawki sieciowej na stałym poziomie. Konsekwentna realizacja założeń powinna pozytywnie wpływać na rozwój przewoźników, ich kondycję finansową oraz konkurencyjność branży. </w:t>
      </w:r>
      <w:r w:rsidRPr="000C7C34">
        <w:rPr>
          <w:rFonts w:ascii="Arial" w:hAnsi="Arial" w:cs="Arial"/>
          <w:bCs/>
        </w:rPr>
        <w:t>– mówi Andrzej Pawłowski, wiceprezes Zarządu  PKP Polskich Linii Kolejowych S.A.</w:t>
      </w:r>
    </w:p>
    <w:p w:rsidR="00D50774" w:rsidRPr="000C7C34" w:rsidRDefault="00D50774" w:rsidP="00D50774">
      <w:pPr>
        <w:spacing w:line="360" w:lineRule="auto"/>
        <w:jc w:val="both"/>
        <w:rPr>
          <w:rFonts w:ascii="Arial" w:hAnsi="Arial" w:cs="Arial"/>
        </w:rPr>
      </w:pPr>
      <w:r w:rsidRPr="000C7C34">
        <w:rPr>
          <w:rFonts w:ascii="Arial" w:hAnsi="Arial" w:cs="Arial"/>
        </w:rPr>
        <w:t xml:space="preserve">Projekt cennika na rozkład jazdy pociągów 2014/2015 powstał przy uwzględnieniu tych samych założeń i regulacji, jak w roku ubiegłym. Nie zmieniły się zasady kategoryzacji linii oraz </w:t>
      </w:r>
      <w:r>
        <w:rPr>
          <w:rFonts w:ascii="Arial" w:hAnsi="Arial" w:cs="Arial"/>
        </w:rPr>
        <w:t>p</w:t>
      </w:r>
      <w:r w:rsidRPr="000C7C34">
        <w:rPr>
          <w:rFonts w:ascii="Arial" w:hAnsi="Arial" w:cs="Arial"/>
        </w:rPr>
        <w:t>rzedziały mas brutto pociągów.</w:t>
      </w:r>
    </w:p>
    <w:p w:rsidR="00D50774" w:rsidRPr="000C7C34" w:rsidRDefault="00D50774" w:rsidP="00D50774">
      <w:pPr>
        <w:spacing w:line="360" w:lineRule="auto"/>
        <w:jc w:val="both"/>
        <w:rPr>
          <w:rFonts w:ascii="Arial" w:hAnsi="Arial" w:cs="Arial"/>
        </w:rPr>
      </w:pPr>
      <w:r w:rsidRPr="000C7C34">
        <w:rPr>
          <w:rFonts w:ascii="Arial" w:hAnsi="Arial" w:cs="Arial"/>
        </w:rPr>
        <w:t>W nowym cenniku PLK proponuje nowe</w:t>
      </w:r>
      <w:r>
        <w:rPr>
          <w:rFonts w:ascii="Arial" w:hAnsi="Arial" w:cs="Arial"/>
        </w:rPr>
        <w:t>,</w:t>
      </w:r>
      <w:r w:rsidRPr="000C7C34">
        <w:rPr>
          <w:rFonts w:ascii="Arial" w:hAnsi="Arial" w:cs="Arial"/>
        </w:rPr>
        <w:t xml:space="preserve"> pozytywne rozwiązania dla przewoźników.                    </w:t>
      </w:r>
      <w:r>
        <w:rPr>
          <w:rFonts w:ascii="Arial" w:hAnsi="Arial" w:cs="Arial"/>
        </w:rPr>
        <w:t>S</w:t>
      </w:r>
      <w:r w:rsidRPr="000C7C34">
        <w:rPr>
          <w:rFonts w:ascii="Arial" w:hAnsi="Arial" w:cs="Arial"/>
        </w:rPr>
        <w:t>tawki za korzystanie z ponad połowy stacji i przystanków, które nie dysponują urządzeniami do wygłaszania zapowiedzi głosowych, będą niższe o blisko 20 %.</w:t>
      </w:r>
      <w:r>
        <w:rPr>
          <w:rFonts w:ascii="Arial" w:hAnsi="Arial" w:cs="Arial"/>
        </w:rPr>
        <w:t xml:space="preserve"> </w:t>
      </w:r>
      <w:r w:rsidRPr="000C7C34">
        <w:rPr>
          <w:rFonts w:ascii="Arial" w:hAnsi="Arial" w:cs="Arial"/>
        </w:rPr>
        <w:t>W sumie tańsze będzie korzystanie z 88 %</w:t>
      </w:r>
      <w:r>
        <w:rPr>
          <w:rFonts w:ascii="Arial" w:hAnsi="Arial" w:cs="Arial"/>
        </w:rPr>
        <w:t xml:space="preserve"> stacji i przystanków w Polsce. </w:t>
      </w:r>
      <w:r w:rsidRPr="000C7C34">
        <w:rPr>
          <w:rFonts w:ascii="Arial" w:hAnsi="Arial" w:cs="Arial"/>
        </w:rPr>
        <w:t xml:space="preserve">Wzrost opłat dotyczy tylko 20 największych stacji oraz w </w:t>
      </w:r>
      <w:r>
        <w:rPr>
          <w:rFonts w:ascii="Arial" w:hAnsi="Arial" w:cs="Arial"/>
        </w:rPr>
        <w:t>niewielkim</w:t>
      </w:r>
      <w:r w:rsidRPr="000C7C34">
        <w:rPr>
          <w:rFonts w:ascii="Arial" w:hAnsi="Arial" w:cs="Arial"/>
        </w:rPr>
        <w:t xml:space="preserve"> stopniu stacji i</w:t>
      </w:r>
      <w:r>
        <w:rPr>
          <w:rFonts w:ascii="Arial" w:hAnsi="Arial" w:cs="Arial"/>
        </w:rPr>
        <w:t xml:space="preserve"> przystanków </w:t>
      </w:r>
      <w:r w:rsidRPr="000C7C34">
        <w:rPr>
          <w:rFonts w:ascii="Arial" w:hAnsi="Arial" w:cs="Arial"/>
        </w:rPr>
        <w:t xml:space="preserve">o znaczeniu regionalnym  </w:t>
      </w:r>
      <w:r>
        <w:rPr>
          <w:rFonts w:ascii="Arial" w:hAnsi="Arial" w:cs="Arial"/>
        </w:rPr>
        <w:br/>
      </w:r>
      <w:r w:rsidRPr="000C7C34">
        <w:rPr>
          <w:rFonts w:ascii="Arial" w:hAnsi="Arial" w:cs="Arial"/>
        </w:rPr>
        <w:t>i aglomeracyjnym</w:t>
      </w:r>
      <w:r>
        <w:rPr>
          <w:rFonts w:ascii="Arial" w:hAnsi="Arial" w:cs="Arial"/>
        </w:rPr>
        <w:t>,</w:t>
      </w:r>
      <w:r w:rsidRPr="000C7C34">
        <w:rPr>
          <w:rFonts w:ascii="Arial" w:hAnsi="Arial" w:cs="Arial"/>
        </w:rPr>
        <w:t xml:space="preserve"> wyposażonych w systemy informowania podróżnych.</w:t>
      </w:r>
    </w:p>
    <w:p w:rsidR="00D50774" w:rsidRPr="000C7C34" w:rsidRDefault="00D50774" w:rsidP="00D50774">
      <w:pPr>
        <w:spacing w:line="360" w:lineRule="auto"/>
        <w:jc w:val="both"/>
        <w:rPr>
          <w:rFonts w:ascii="Arial" w:hAnsi="Arial" w:cs="Arial"/>
        </w:rPr>
      </w:pPr>
      <w:r w:rsidRPr="000C7C34">
        <w:rPr>
          <w:rFonts w:ascii="Arial" w:hAnsi="Arial" w:cs="Arial"/>
        </w:rPr>
        <w:t>Udział opłat za korzystanie z peronów oraz informację pasażerską w całkowitym koszcie dostępu do infrastruktury</w:t>
      </w:r>
      <w:r>
        <w:rPr>
          <w:rFonts w:ascii="Arial" w:hAnsi="Arial" w:cs="Arial"/>
        </w:rPr>
        <w:t>,</w:t>
      </w:r>
      <w:r w:rsidRPr="000C7C34">
        <w:rPr>
          <w:rFonts w:ascii="Arial" w:hAnsi="Arial" w:cs="Arial"/>
        </w:rPr>
        <w:t xml:space="preserve"> będzie </w:t>
      </w:r>
      <w:r>
        <w:rPr>
          <w:rFonts w:ascii="Arial" w:hAnsi="Arial" w:cs="Arial"/>
        </w:rPr>
        <w:t xml:space="preserve">dla przewoźników </w:t>
      </w:r>
      <w:r w:rsidRPr="000C7C34">
        <w:rPr>
          <w:rFonts w:ascii="Arial" w:hAnsi="Arial" w:cs="Arial"/>
        </w:rPr>
        <w:t>niższy, niż w obecnie obowiązującym cenniku. Jedną</w:t>
      </w:r>
      <w:r>
        <w:rPr>
          <w:rFonts w:ascii="Arial" w:hAnsi="Arial" w:cs="Arial"/>
        </w:rPr>
        <w:t xml:space="preserve"> </w:t>
      </w:r>
      <w:r w:rsidRPr="000C7C34">
        <w:rPr>
          <w:rFonts w:ascii="Arial" w:hAnsi="Arial" w:cs="Arial"/>
        </w:rPr>
        <w:t>z propozycji, mającą znaczenie szczególnie dla przewoźników towarowych, jest obniżenie</w:t>
      </w:r>
      <w:r>
        <w:rPr>
          <w:rFonts w:ascii="Arial" w:hAnsi="Arial" w:cs="Arial"/>
        </w:rPr>
        <w:t xml:space="preserve"> </w:t>
      </w:r>
      <w:r w:rsidRPr="000C7C34">
        <w:rPr>
          <w:rFonts w:ascii="Arial" w:hAnsi="Arial" w:cs="Arial"/>
        </w:rPr>
        <w:t>o jedną piątą opłaty za przydzielanie tras poza rocznym rozkładem jazdy.</w:t>
      </w:r>
    </w:p>
    <w:p w:rsidR="00D50774" w:rsidRPr="000C7C34" w:rsidRDefault="00D50774" w:rsidP="00D50774">
      <w:pPr>
        <w:spacing w:line="360" w:lineRule="auto"/>
        <w:jc w:val="both"/>
        <w:rPr>
          <w:rFonts w:ascii="Arial" w:hAnsi="Arial" w:cs="Arial"/>
        </w:rPr>
      </w:pPr>
      <w:r w:rsidRPr="000C7C34">
        <w:rPr>
          <w:rFonts w:ascii="Arial" w:hAnsi="Arial" w:cs="Arial"/>
        </w:rPr>
        <w:t>Projekt cennika umożliwi zarządcy infrastruktury realizację postawionych przed nim zadań, wśród których jest sprawne zarządzanie infrastrukturą kolejową i utrzymanie jej we właściwym stanie.</w:t>
      </w:r>
    </w:p>
    <w:p w:rsidR="00D50774" w:rsidRPr="000C7C34" w:rsidRDefault="00D50774" w:rsidP="00D50774">
      <w:pPr>
        <w:spacing w:line="360" w:lineRule="auto"/>
        <w:jc w:val="both"/>
        <w:rPr>
          <w:rFonts w:ascii="Arial" w:hAnsi="Arial" w:cs="Arial"/>
        </w:rPr>
      </w:pPr>
      <w:r w:rsidRPr="000C7C34">
        <w:rPr>
          <w:rFonts w:ascii="Arial" w:hAnsi="Arial" w:cs="Arial"/>
        </w:rPr>
        <w:t xml:space="preserve">Projekt cennika został przygotowany zgodnie z obowiązującymi zarządcę infrastruktury regulacjami oraz przy uwzględnieniu wyroku Trybunału Sprawiedliwości Unii Europejskiej                   </w:t>
      </w:r>
      <w:r w:rsidRPr="000C7C34">
        <w:rPr>
          <w:rFonts w:ascii="Arial" w:hAnsi="Arial" w:cs="Arial"/>
        </w:rPr>
        <w:lastRenderedPageBreak/>
        <w:t>z dnia 30 maja 2013 r. Ustawa o transporcie kolejowym mówi, że w terminie 30 dni od otrzymania projektu, Prezes Urzędu Transportu Kolejowego zatwierdza lub odmawia zatwierdzenia stawek, które wchodzą w życie wraz z nowym rozkładem jazdy.</w:t>
      </w:r>
    </w:p>
    <w:p w:rsidR="00D50774" w:rsidRPr="000C7C34" w:rsidRDefault="00D50774" w:rsidP="00D50774">
      <w:pPr>
        <w:spacing w:line="360" w:lineRule="auto"/>
        <w:jc w:val="both"/>
        <w:rPr>
          <w:rFonts w:ascii="Arial" w:hAnsi="Arial" w:cs="Arial"/>
        </w:rPr>
      </w:pPr>
      <w:r w:rsidRPr="000C7C34">
        <w:rPr>
          <w:rFonts w:ascii="Arial" w:hAnsi="Arial" w:cs="Arial"/>
        </w:rPr>
        <w:t xml:space="preserve">Projekt nowych stawek oraz zasady   kalkulacji  stawek jednostkowych opłaty podstawowej               i opłat dodatkowych za korzystanie z infrastruktury kolejowej zarządzanej przez </w:t>
      </w:r>
      <w:r>
        <w:rPr>
          <w:rFonts w:ascii="Arial" w:hAnsi="Arial" w:cs="Arial"/>
        </w:rPr>
        <w:t xml:space="preserve">PLK, </w:t>
      </w:r>
      <w:r w:rsidRPr="000C7C34">
        <w:rPr>
          <w:rFonts w:ascii="Arial" w:hAnsi="Arial" w:cs="Arial"/>
        </w:rPr>
        <w:t>obowiązujących od 14 grudnia 2014 r. zostały opublikowane na stronie internetowej spółki.</w:t>
      </w:r>
    </w:p>
    <w:p w:rsidR="00D50774" w:rsidRPr="009028DE" w:rsidRDefault="00D50774" w:rsidP="009028DE">
      <w:pPr>
        <w:spacing w:line="360" w:lineRule="auto"/>
        <w:rPr>
          <w:rFonts w:ascii="Arial" w:hAnsi="Arial" w:cs="Arial"/>
          <w:b/>
        </w:rPr>
      </w:pPr>
    </w:p>
    <w:p w:rsidR="00D50774" w:rsidRDefault="00D50774" w:rsidP="00510D99">
      <w:pPr>
        <w:spacing w:after="200"/>
        <w:ind w:left="5664"/>
        <w:rPr>
          <w:rFonts w:ascii="Arial" w:hAnsi="Arial" w:cs="Arial"/>
          <w:b/>
          <w:bCs/>
          <w:i/>
          <w:iCs/>
        </w:rPr>
      </w:pPr>
    </w:p>
    <w:p w:rsidR="0086431B" w:rsidRPr="009028DE" w:rsidRDefault="00300BCD" w:rsidP="00D50774">
      <w:pPr>
        <w:spacing w:after="200"/>
        <w:rPr>
          <w:rFonts w:ascii="Arial" w:hAnsi="Arial" w:cs="Arial"/>
        </w:rPr>
      </w:pPr>
      <w:r w:rsidRPr="009028DE">
        <w:rPr>
          <w:rFonts w:ascii="Arial" w:hAnsi="Arial" w:cs="Arial"/>
          <w:b/>
          <w:bCs/>
          <w:i/>
          <w:iCs/>
        </w:rPr>
        <w:t>Kontakt dla mediów:</w:t>
      </w:r>
      <w:r w:rsidRPr="009028DE">
        <w:rPr>
          <w:rFonts w:ascii="Arial" w:hAnsi="Arial" w:cs="Arial"/>
          <w:i/>
          <w:iCs/>
        </w:rPr>
        <w:br/>
      </w:r>
      <w:r w:rsidR="00CA5EA5" w:rsidRPr="009028DE">
        <w:rPr>
          <w:rFonts w:ascii="Arial" w:hAnsi="Arial" w:cs="Arial"/>
        </w:rPr>
        <w:t xml:space="preserve">Mirosław Siemieniec </w:t>
      </w:r>
      <w:r w:rsidR="00CA5EA5" w:rsidRPr="009028DE">
        <w:rPr>
          <w:rFonts w:ascii="Arial" w:hAnsi="Arial" w:cs="Arial"/>
        </w:rPr>
        <w:br/>
        <w:t xml:space="preserve">Rzecznik prasowy </w:t>
      </w:r>
      <w:r w:rsidR="00CA5EA5" w:rsidRPr="009028DE">
        <w:rPr>
          <w:rFonts w:ascii="Arial" w:hAnsi="Arial" w:cs="Arial"/>
        </w:rPr>
        <w:br/>
        <w:t>PKP Polskie Linie Ko</w:t>
      </w:r>
      <w:r w:rsidR="00510D99" w:rsidRPr="009028DE">
        <w:rPr>
          <w:rFonts w:ascii="Arial" w:hAnsi="Arial" w:cs="Arial"/>
        </w:rPr>
        <w:t xml:space="preserve">lejowe S.A. </w:t>
      </w:r>
      <w:r w:rsidR="00510D99" w:rsidRPr="009028DE">
        <w:rPr>
          <w:rFonts w:ascii="Arial" w:hAnsi="Arial" w:cs="Arial"/>
        </w:rPr>
        <w:br/>
      </w:r>
      <w:hyperlink r:id="rId13" w:history="1">
        <w:r w:rsidR="00510D99" w:rsidRPr="009028DE">
          <w:rPr>
            <w:rStyle w:val="Hipercze"/>
            <w:rFonts w:ascii="Arial" w:hAnsi="Arial" w:cs="Arial"/>
          </w:rPr>
          <w:t>rzecznik@plk-sa.pl</w:t>
        </w:r>
      </w:hyperlink>
      <w:r w:rsidR="00510D99" w:rsidRPr="009028DE">
        <w:rPr>
          <w:rFonts w:ascii="Arial" w:hAnsi="Arial" w:cs="Arial"/>
        </w:rPr>
        <w:t xml:space="preserve"> </w:t>
      </w:r>
      <w:r w:rsidR="00CA5EA5" w:rsidRPr="009028DE">
        <w:rPr>
          <w:rFonts w:ascii="Arial" w:hAnsi="Arial" w:cs="Arial"/>
        </w:rPr>
        <w:br/>
        <w:t>tel. 662114900</w:t>
      </w:r>
    </w:p>
    <w:sectPr w:rsidR="0086431B" w:rsidRPr="009028DE" w:rsidSect="00B57D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5E" w:rsidRDefault="0012045E">
      <w:r>
        <w:separator/>
      </w:r>
    </w:p>
  </w:endnote>
  <w:endnote w:type="continuationSeparator" w:id="0">
    <w:p w:rsidR="0012045E" w:rsidRDefault="0012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5E" w:rsidRDefault="0012045E">
      <w:r>
        <w:separator/>
      </w:r>
    </w:p>
  </w:footnote>
  <w:footnote w:type="continuationSeparator" w:id="0">
    <w:p w:rsidR="0012045E" w:rsidRDefault="00120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67A88"/>
    <w:rsid w:val="00071C8F"/>
    <w:rsid w:val="00077024"/>
    <w:rsid w:val="0008739E"/>
    <w:rsid w:val="00092F51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13FD5"/>
    <w:rsid w:val="0012045E"/>
    <w:rsid w:val="001239DB"/>
    <w:rsid w:val="00133E05"/>
    <w:rsid w:val="00134DF0"/>
    <w:rsid w:val="00155E55"/>
    <w:rsid w:val="001659A7"/>
    <w:rsid w:val="0018577E"/>
    <w:rsid w:val="001B324F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90BAF"/>
    <w:rsid w:val="002A26AD"/>
    <w:rsid w:val="002B4356"/>
    <w:rsid w:val="002B6411"/>
    <w:rsid w:val="002B6EA3"/>
    <w:rsid w:val="002D2C7E"/>
    <w:rsid w:val="00300BCD"/>
    <w:rsid w:val="003046AB"/>
    <w:rsid w:val="00332CC8"/>
    <w:rsid w:val="00332E0C"/>
    <w:rsid w:val="00334750"/>
    <w:rsid w:val="00355C5A"/>
    <w:rsid w:val="0036145D"/>
    <w:rsid w:val="0036705F"/>
    <w:rsid w:val="00367594"/>
    <w:rsid w:val="00373CA9"/>
    <w:rsid w:val="00375DF2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B184C"/>
    <w:rsid w:val="004B3F76"/>
    <w:rsid w:val="004B4263"/>
    <w:rsid w:val="004B43AD"/>
    <w:rsid w:val="004F4EBF"/>
    <w:rsid w:val="004F5F7F"/>
    <w:rsid w:val="004F6927"/>
    <w:rsid w:val="00507008"/>
    <w:rsid w:val="00510D99"/>
    <w:rsid w:val="005120D0"/>
    <w:rsid w:val="0053435D"/>
    <w:rsid w:val="005356E0"/>
    <w:rsid w:val="005368ED"/>
    <w:rsid w:val="00537BBC"/>
    <w:rsid w:val="00541D46"/>
    <w:rsid w:val="00542A76"/>
    <w:rsid w:val="00543C14"/>
    <w:rsid w:val="00550D66"/>
    <w:rsid w:val="005520A6"/>
    <w:rsid w:val="00552FB0"/>
    <w:rsid w:val="005541F0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D7E12"/>
    <w:rsid w:val="005E1008"/>
    <w:rsid w:val="005E6955"/>
    <w:rsid w:val="005E7ABB"/>
    <w:rsid w:val="00604E73"/>
    <w:rsid w:val="00607A72"/>
    <w:rsid w:val="0061359E"/>
    <w:rsid w:val="00614A21"/>
    <w:rsid w:val="006258CD"/>
    <w:rsid w:val="00637E7D"/>
    <w:rsid w:val="0068132F"/>
    <w:rsid w:val="00685CFA"/>
    <w:rsid w:val="00686470"/>
    <w:rsid w:val="0069509C"/>
    <w:rsid w:val="00695CFB"/>
    <w:rsid w:val="006C2745"/>
    <w:rsid w:val="006C5CA2"/>
    <w:rsid w:val="006D1C85"/>
    <w:rsid w:val="006E5B9F"/>
    <w:rsid w:val="006F612E"/>
    <w:rsid w:val="0070042C"/>
    <w:rsid w:val="0070317D"/>
    <w:rsid w:val="0070619E"/>
    <w:rsid w:val="00724168"/>
    <w:rsid w:val="00724EC3"/>
    <w:rsid w:val="00725546"/>
    <w:rsid w:val="00745F47"/>
    <w:rsid w:val="00747180"/>
    <w:rsid w:val="007517DB"/>
    <w:rsid w:val="0075389A"/>
    <w:rsid w:val="007616D4"/>
    <w:rsid w:val="00767012"/>
    <w:rsid w:val="00767DFF"/>
    <w:rsid w:val="007715DC"/>
    <w:rsid w:val="00781020"/>
    <w:rsid w:val="0078145E"/>
    <w:rsid w:val="00790ECC"/>
    <w:rsid w:val="00790FB7"/>
    <w:rsid w:val="00797B1F"/>
    <w:rsid w:val="007A1DD2"/>
    <w:rsid w:val="007A22A7"/>
    <w:rsid w:val="007A234E"/>
    <w:rsid w:val="007B634A"/>
    <w:rsid w:val="007D37F0"/>
    <w:rsid w:val="007D4624"/>
    <w:rsid w:val="007D4813"/>
    <w:rsid w:val="007E39D4"/>
    <w:rsid w:val="00805D1E"/>
    <w:rsid w:val="0080624B"/>
    <w:rsid w:val="00817FB7"/>
    <w:rsid w:val="008343EC"/>
    <w:rsid w:val="00851436"/>
    <w:rsid w:val="0086431B"/>
    <w:rsid w:val="00873880"/>
    <w:rsid w:val="00877538"/>
    <w:rsid w:val="0089217A"/>
    <w:rsid w:val="00894FC8"/>
    <w:rsid w:val="00896086"/>
    <w:rsid w:val="008A018C"/>
    <w:rsid w:val="008A038A"/>
    <w:rsid w:val="008A1AE5"/>
    <w:rsid w:val="008C42B2"/>
    <w:rsid w:val="008D49B6"/>
    <w:rsid w:val="008D6D83"/>
    <w:rsid w:val="008E1875"/>
    <w:rsid w:val="008F3505"/>
    <w:rsid w:val="008F38AC"/>
    <w:rsid w:val="008F67DD"/>
    <w:rsid w:val="008F7F56"/>
    <w:rsid w:val="009028DE"/>
    <w:rsid w:val="00910B08"/>
    <w:rsid w:val="0092004D"/>
    <w:rsid w:val="009234C7"/>
    <w:rsid w:val="009270DF"/>
    <w:rsid w:val="009311A5"/>
    <w:rsid w:val="0094003C"/>
    <w:rsid w:val="009412AB"/>
    <w:rsid w:val="0096422E"/>
    <w:rsid w:val="00975C1A"/>
    <w:rsid w:val="00982B87"/>
    <w:rsid w:val="009956E9"/>
    <w:rsid w:val="009A7758"/>
    <w:rsid w:val="009B24E9"/>
    <w:rsid w:val="009C17F9"/>
    <w:rsid w:val="009D5E13"/>
    <w:rsid w:val="00A06743"/>
    <w:rsid w:val="00A10B5D"/>
    <w:rsid w:val="00A11280"/>
    <w:rsid w:val="00A148F2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340E5"/>
    <w:rsid w:val="00B55DC0"/>
    <w:rsid w:val="00B57DE2"/>
    <w:rsid w:val="00BA69BB"/>
    <w:rsid w:val="00BB2AFC"/>
    <w:rsid w:val="00BB5B3A"/>
    <w:rsid w:val="00BB7785"/>
    <w:rsid w:val="00BD1C9E"/>
    <w:rsid w:val="00BD3A67"/>
    <w:rsid w:val="00BD6534"/>
    <w:rsid w:val="00BD7556"/>
    <w:rsid w:val="00BD76F4"/>
    <w:rsid w:val="00BE4159"/>
    <w:rsid w:val="00BF56FC"/>
    <w:rsid w:val="00C02ABA"/>
    <w:rsid w:val="00C117BC"/>
    <w:rsid w:val="00C15533"/>
    <w:rsid w:val="00C226F1"/>
    <w:rsid w:val="00C26D94"/>
    <w:rsid w:val="00C522E6"/>
    <w:rsid w:val="00C55BD1"/>
    <w:rsid w:val="00C729CB"/>
    <w:rsid w:val="00C762C1"/>
    <w:rsid w:val="00C87112"/>
    <w:rsid w:val="00C9177C"/>
    <w:rsid w:val="00C92CED"/>
    <w:rsid w:val="00C971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CF67F0"/>
    <w:rsid w:val="00D02F0B"/>
    <w:rsid w:val="00D063C5"/>
    <w:rsid w:val="00D24008"/>
    <w:rsid w:val="00D356F4"/>
    <w:rsid w:val="00D35EC7"/>
    <w:rsid w:val="00D50774"/>
    <w:rsid w:val="00D51F91"/>
    <w:rsid w:val="00D56DB6"/>
    <w:rsid w:val="00D61FD8"/>
    <w:rsid w:val="00D66D67"/>
    <w:rsid w:val="00D8233F"/>
    <w:rsid w:val="00D953E6"/>
    <w:rsid w:val="00DA5619"/>
    <w:rsid w:val="00DC2F33"/>
    <w:rsid w:val="00DC6CD2"/>
    <w:rsid w:val="00DD1217"/>
    <w:rsid w:val="00DD40D9"/>
    <w:rsid w:val="00DE130C"/>
    <w:rsid w:val="00DE2227"/>
    <w:rsid w:val="00DE3A59"/>
    <w:rsid w:val="00DF2C32"/>
    <w:rsid w:val="00E041E5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921A8"/>
    <w:rsid w:val="00EB2C7D"/>
    <w:rsid w:val="00EB750D"/>
    <w:rsid w:val="00EC1CE1"/>
    <w:rsid w:val="00EC2FAA"/>
    <w:rsid w:val="00ED1330"/>
    <w:rsid w:val="00ED4790"/>
    <w:rsid w:val="00EE5EE5"/>
    <w:rsid w:val="00F17E24"/>
    <w:rsid w:val="00F207B9"/>
    <w:rsid w:val="00F27C20"/>
    <w:rsid w:val="00F36F85"/>
    <w:rsid w:val="00F37C03"/>
    <w:rsid w:val="00F541F6"/>
    <w:rsid w:val="00F576EB"/>
    <w:rsid w:val="00F62DC4"/>
    <w:rsid w:val="00F6317A"/>
    <w:rsid w:val="00F67BFE"/>
    <w:rsid w:val="00F76AA6"/>
    <w:rsid w:val="00F81F72"/>
    <w:rsid w:val="00F832BE"/>
    <w:rsid w:val="00F95491"/>
    <w:rsid w:val="00FA7888"/>
    <w:rsid w:val="00FC14A4"/>
    <w:rsid w:val="00FC64CF"/>
    <w:rsid w:val="00FE3510"/>
    <w:rsid w:val="00FE3C3E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9028DE"/>
    <w:rPr>
      <w:i/>
      <w:iCs/>
    </w:rPr>
  </w:style>
  <w:style w:type="paragraph" w:customStyle="1" w:styleId="bodytext">
    <w:name w:val="bodytext"/>
    <w:basedOn w:val="Normalny"/>
    <w:rsid w:val="00D507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9028DE"/>
    <w:rPr>
      <w:i/>
      <w:iCs/>
    </w:rPr>
  </w:style>
  <w:style w:type="paragraph" w:customStyle="1" w:styleId="bodytext">
    <w:name w:val="bodytext"/>
    <w:basedOn w:val="Normalny"/>
    <w:rsid w:val="00D5077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ecznik@plk-sa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zecznik@plk-sa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1ED3-07B5-4E66-B162-63FE060D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Piotrowska Maria</cp:lastModifiedBy>
  <cp:revision>3</cp:revision>
  <cp:lastPrinted>2014-02-26T12:54:00Z</cp:lastPrinted>
  <dcterms:created xsi:type="dcterms:W3CDTF">2014-03-12T11:55:00Z</dcterms:created>
  <dcterms:modified xsi:type="dcterms:W3CDTF">2014-03-12T11:57:00Z</dcterms:modified>
</cp:coreProperties>
</file>